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BA099">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538DD93E"/>
    <w:p w14:paraId="71140065"/>
    <w:p w14:paraId="3F945705"/>
    <w:p w14:paraId="2D551F38"/>
    <w:p w14:paraId="78061AFD"/>
    <w:p w14:paraId="41F9FA92"/>
    <w:p w14:paraId="6CD5F811"/>
    <w:p w14:paraId="5ACC81DD"/>
    <w:p w14:paraId="593DBC70">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淮北市工业和信息化局</w:t>
      </w:r>
      <w:r>
        <w:rPr>
          <w:rFonts w:hint="eastAsia" w:ascii="TimesNewRoman" w:hAnsi="TimesNewRoman" w:eastAsia="华文中宋" w:cs="TimesNewRoman"/>
          <w:b/>
          <w:sz w:val="44"/>
          <w:szCs w:val="44"/>
        </w:rPr>
        <w:t>2025年</w:t>
      </w:r>
    </w:p>
    <w:p w14:paraId="330115A2">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部门</w:t>
      </w:r>
      <w:r>
        <w:rPr>
          <w:rFonts w:hint="eastAsia" w:ascii="TimesNewRoman" w:hAnsi="TimesNewRoman" w:eastAsia="华文中宋" w:cs="TimesNewRoman"/>
          <w:b/>
          <w:sz w:val="44"/>
          <w:szCs w:val="44"/>
        </w:rPr>
        <w:t>预算</w:t>
      </w:r>
    </w:p>
    <w:p w14:paraId="6A3C2B5F"/>
    <w:p w14:paraId="6A9F96F5"/>
    <w:p w14:paraId="65BA8421"/>
    <w:p w14:paraId="6ADA1AC2"/>
    <w:p w14:paraId="11EE07C0"/>
    <w:p w14:paraId="11097DCB"/>
    <w:p w14:paraId="56CFA0F1"/>
    <w:p w14:paraId="33061C6A"/>
    <w:p w14:paraId="79D604A3"/>
    <w:p w14:paraId="3E794052"/>
    <w:p w14:paraId="0E83AF3C"/>
    <w:p w14:paraId="35530B80"/>
    <w:p w14:paraId="62BA64F8"/>
    <w:p w14:paraId="05468359"/>
    <w:p w14:paraId="11722279"/>
    <w:p w14:paraId="10F060E9"/>
    <w:p w14:paraId="23770902"/>
    <w:p w14:paraId="454CC971"/>
    <w:p w14:paraId="0C08FB81"/>
    <w:p w14:paraId="4D3F04A7"/>
    <w:p w14:paraId="73C1D567"/>
    <w:p w14:paraId="29C97335"/>
    <w:p w14:paraId="0A05E7A5">
      <w:pPr>
        <w:pStyle w:val="5"/>
        <w:adjustRightInd w:val="0"/>
        <w:snapToGrid w:val="0"/>
        <w:spacing w:line="560" w:lineRule="exact"/>
        <w:jc w:val="center"/>
        <w:rPr>
          <w:rFonts w:ascii="TimesNewRoman" w:hAnsi="TimesNewRoman" w:eastAsia="黑体" w:cs="TimesNewRoman"/>
          <w:bCs/>
          <w:sz w:val="44"/>
          <w:szCs w:val="44"/>
        </w:rPr>
      </w:pPr>
    </w:p>
    <w:p w14:paraId="747EA45C">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65C6D914"/>
    <w:p w14:paraId="21F2AFA6"/>
    <w:p w14:paraId="66D3A801">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101F5742"/>
    <w:p w14:paraId="7B6E9A18">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部门</w:t>
      </w:r>
      <w:r>
        <w:rPr>
          <w:rFonts w:hint="eastAsia" w:ascii="TimesNewRoman" w:hAnsi="TimesNewRoman" w:eastAsia="仿宋_GB2312" w:cs="TimesNewRoman"/>
          <w:b/>
          <w:sz w:val="32"/>
          <w:szCs w:val="32"/>
        </w:rPr>
        <w:t>概况</w:t>
      </w:r>
    </w:p>
    <w:p w14:paraId="0A39373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3DE4A0E0">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部门</w:t>
      </w:r>
      <w:r>
        <w:rPr>
          <w:rFonts w:hint="eastAsia" w:ascii="TimesNewRoman" w:hAnsi="TimesNewRoman" w:eastAsia="仿宋_GB2312" w:cs="TimesNewRoman"/>
          <w:bCs/>
          <w:sz w:val="32"/>
          <w:szCs w:val="32"/>
        </w:rPr>
        <w:t>预算构成</w:t>
      </w:r>
    </w:p>
    <w:p w14:paraId="045D58E0">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32AD3CD4">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w:t>
      </w:r>
      <w:r>
        <w:rPr>
          <w:rFonts w:hint="eastAsia" w:ascii="TimesNewRoman" w:hAnsi="TimesNewRoman" w:eastAsia="仿宋_GB2312" w:cs="TimesNewRoman"/>
          <w:b/>
          <w:sz w:val="32"/>
          <w:szCs w:val="32"/>
          <w:lang w:eastAsia="zh-CN"/>
        </w:rPr>
        <w:t>部门</w:t>
      </w:r>
      <w:r>
        <w:rPr>
          <w:rFonts w:hint="eastAsia" w:ascii="TimesNewRoman" w:hAnsi="TimesNewRoman" w:eastAsia="仿宋_GB2312" w:cs="TimesNewRoman"/>
          <w:b/>
          <w:sz w:val="32"/>
          <w:szCs w:val="32"/>
        </w:rPr>
        <w:t>预算表</w:t>
      </w:r>
    </w:p>
    <w:p w14:paraId="78AC47D0">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淮北市工业和信息化局</w:t>
      </w:r>
      <w:r>
        <w:rPr>
          <w:rFonts w:hint="eastAsia" w:ascii="TimesNewRoman" w:hAnsi="TimesNewRoman" w:eastAsia="仿宋_GB2312" w:cs="TimesNewRoman"/>
          <w:bCs/>
          <w:sz w:val="32"/>
          <w:szCs w:val="32"/>
        </w:rPr>
        <w:t>2025年收支总表</w:t>
      </w:r>
    </w:p>
    <w:p w14:paraId="67C6815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淮北市工业和信息化局</w:t>
      </w:r>
      <w:r>
        <w:rPr>
          <w:rFonts w:hint="eastAsia" w:ascii="TimesNewRoman" w:hAnsi="TimesNewRoman" w:eastAsia="仿宋_GB2312" w:cs="TimesNewRoman"/>
          <w:bCs/>
          <w:sz w:val="32"/>
          <w:szCs w:val="32"/>
        </w:rPr>
        <w:t>2025年收入总表</w:t>
      </w:r>
    </w:p>
    <w:p w14:paraId="4C549E1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w:t>
      </w:r>
      <w:r>
        <w:rPr>
          <w:rFonts w:hint="eastAsia" w:ascii="TimesNewRoman" w:hAnsi="TimesNewRoman" w:eastAsia="仿宋_GB2312" w:cs="TimesNewRoman"/>
          <w:bCs/>
          <w:sz w:val="32"/>
          <w:szCs w:val="32"/>
          <w:lang w:eastAsia="zh-CN"/>
        </w:rPr>
        <w:t>淮北市工业和信息化局</w:t>
      </w:r>
      <w:r>
        <w:rPr>
          <w:rFonts w:hint="eastAsia" w:ascii="TimesNewRoman" w:hAnsi="TimesNewRoman" w:eastAsia="仿宋_GB2312" w:cs="TimesNewRoman"/>
          <w:bCs/>
          <w:sz w:val="32"/>
          <w:szCs w:val="32"/>
        </w:rPr>
        <w:t>2025年支出总表</w:t>
      </w:r>
    </w:p>
    <w:p w14:paraId="43CF6FA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w:t>
      </w:r>
      <w:r>
        <w:rPr>
          <w:rFonts w:hint="eastAsia" w:ascii="TimesNewRoman" w:hAnsi="TimesNewRoman" w:eastAsia="仿宋_GB2312" w:cs="TimesNewRoman"/>
          <w:bCs/>
          <w:sz w:val="32"/>
          <w:szCs w:val="32"/>
          <w:lang w:eastAsia="zh-CN"/>
        </w:rPr>
        <w:t>淮北市工业和信息化局</w:t>
      </w:r>
      <w:r>
        <w:rPr>
          <w:rFonts w:hint="eastAsia" w:ascii="TimesNewRoman" w:hAnsi="TimesNewRoman" w:eastAsia="仿宋_GB2312" w:cs="TimesNewRoman"/>
          <w:bCs/>
          <w:sz w:val="32"/>
          <w:szCs w:val="32"/>
        </w:rPr>
        <w:t>2025年财政拨款收支总表</w:t>
      </w:r>
    </w:p>
    <w:p w14:paraId="7922B4D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w:t>
      </w:r>
      <w:r>
        <w:rPr>
          <w:rFonts w:hint="eastAsia" w:ascii="TimesNewRoman" w:hAnsi="TimesNewRoman" w:eastAsia="仿宋_GB2312" w:cs="TimesNewRoman"/>
          <w:bCs/>
          <w:sz w:val="32"/>
          <w:szCs w:val="32"/>
          <w:lang w:eastAsia="zh-CN"/>
        </w:rPr>
        <w:t>淮北市工业和信息化局</w:t>
      </w:r>
      <w:r>
        <w:rPr>
          <w:rFonts w:hint="eastAsia" w:ascii="TimesNewRoman" w:hAnsi="TimesNewRoman" w:eastAsia="仿宋_GB2312" w:cs="TimesNewRoman"/>
          <w:bCs/>
          <w:sz w:val="32"/>
          <w:szCs w:val="32"/>
        </w:rPr>
        <w:t>2025年一般公共预算支出表</w:t>
      </w:r>
    </w:p>
    <w:p w14:paraId="1212036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w:t>
      </w:r>
      <w:r>
        <w:rPr>
          <w:rFonts w:hint="eastAsia" w:ascii="TimesNewRoman" w:hAnsi="TimesNewRoman" w:eastAsia="仿宋_GB2312" w:cs="TimesNewRoman"/>
          <w:bCs/>
          <w:sz w:val="32"/>
          <w:szCs w:val="32"/>
          <w:lang w:eastAsia="zh-CN"/>
        </w:rPr>
        <w:t>淮北市工业和信息化局</w:t>
      </w:r>
      <w:r>
        <w:rPr>
          <w:rFonts w:hint="eastAsia" w:ascii="TimesNewRoman" w:hAnsi="TimesNewRoman" w:eastAsia="仿宋_GB2312" w:cs="TimesNewRoman"/>
          <w:bCs/>
          <w:sz w:val="32"/>
          <w:szCs w:val="32"/>
        </w:rPr>
        <w:t>2025年一般公共预算基本支出表</w:t>
      </w:r>
    </w:p>
    <w:p w14:paraId="75D8B17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w:t>
      </w:r>
      <w:r>
        <w:rPr>
          <w:rFonts w:hint="eastAsia" w:ascii="TimesNewRoman" w:hAnsi="TimesNewRoman" w:eastAsia="仿宋_GB2312" w:cs="TimesNewRoman"/>
          <w:bCs/>
          <w:sz w:val="32"/>
          <w:szCs w:val="32"/>
          <w:lang w:eastAsia="zh-CN"/>
        </w:rPr>
        <w:t>淮北市工业和信息化局</w:t>
      </w:r>
      <w:r>
        <w:rPr>
          <w:rFonts w:hint="eastAsia" w:ascii="TimesNewRoman" w:hAnsi="TimesNewRoman" w:eastAsia="仿宋_GB2312" w:cs="TimesNewRoman"/>
          <w:bCs/>
          <w:sz w:val="32"/>
          <w:szCs w:val="32"/>
        </w:rPr>
        <w:t>2025年政府性基金预算支出表</w:t>
      </w:r>
    </w:p>
    <w:p w14:paraId="40592A9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w:t>
      </w:r>
      <w:r>
        <w:rPr>
          <w:rFonts w:hint="eastAsia" w:ascii="TimesNewRoman" w:hAnsi="TimesNewRoman" w:eastAsia="仿宋_GB2312" w:cs="TimesNewRoman"/>
          <w:bCs/>
          <w:sz w:val="32"/>
          <w:szCs w:val="32"/>
          <w:lang w:eastAsia="zh-CN"/>
        </w:rPr>
        <w:t>淮北市工业和信息化局</w:t>
      </w:r>
      <w:r>
        <w:rPr>
          <w:rFonts w:hint="eastAsia" w:ascii="TimesNewRoman" w:hAnsi="TimesNewRoman" w:eastAsia="仿宋_GB2312" w:cs="TimesNewRoman"/>
          <w:bCs/>
          <w:sz w:val="32"/>
          <w:szCs w:val="32"/>
        </w:rPr>
        <w:t>2025年国有资本经营预算支出表</w:t>
      </w:r>
    </w:p>
    <w:p w14:paraId="0EF27031">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w:t>
      </w:r>
      <w:r>
        <w:rPr>
          <w:rFonts w:hint="eastAsia" w:ascii="TimesNewRoman" w:hAnsi="TimesNewRoman" w:eastAsia="仿宋_GB2312" w:cs="TimesNewRoman"/>
          <w:bCs/>
          <w:sz w:val="32"/>
          <w:szCs w:val="32"/>
          <w:lang w:eastAsia="zh-CN"/>
        </w:rPr>
        <w:t>淮北市工业和信息化局</w:t>
      </w:r>
      <w:r>
        <w:rPr>
          <w:rFonts w:hint="eastAsia" w:ascii="TimesNewRoman" w:hAnsi="TimesNewRoman" w:eastAsia="仿宋_GB2312" w:cs="TimesNewRoman"/>
          <w:bCs/>
          <w:sz w:val="32"/>
          <w:szCs w:val="32"/>
        </w:rPr>
        <w:t>2025年项目支出表</w:t>
      </w:r>
    </w:p>
    <w:p w14:paraId="718AE56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w:t>
      </w:r>
      <w:r>
        <w:rPr>
          <w:rFonts w:hint="eastAsia" w:ascii="TimesNewRoman" w:hAnsi="TimesNewRoman" w:eastAsia="仿宋_GB2312" w:cs="TimesNewRoman"/>
          <w:bCs/>
          <w:sz w:val="32"/>
          <w:szCs w:val="32"/>
          <w:lang w:eastAsia="zh-CN"/>
        </w:rPr>
        <w:t>淮北市工业和信息化局</w:t>
      </w:r>
      <w:r>
        <w:rPr>
          <w:rFonts w:hint="eastAsia" w:ascii="TimesNewRoman" w:hAnsi="TimesNewRoman" w:eastAsia="仿宋_GB2312" w:cs="TimesNewRoman"/>
          <w:bCs/>
          <w:sz w:val="32"/>
          <w:szCs w:val="32"/>
        </w:rPr>
        <w:t>2025年政府采购支出表</w:t>
      </w:r>
    </w:p>
    <w:p w14:paraId="050F917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w:t>
      </w:r>
      <w:r>
        <w:rPr>
          <w:rFonts w:hint="eastAsia" w:ascii="TimesNewRoman" w:hAnsi="TimesNewRoman" w:eastAsia="仿宋_GB2312" w:cs="TimesNewRoman"/>
          <w:bCs/>
          <w:sz w:val="32"/>
          <w:szCs w:val="32"/>
          <w:lang w:eastAsia="zh-CN"/>
        </w:rPr>
        <w:t>淮北市工业和信息化局</w:t>
      </w:r>
      <w:r>
        <w:rPr>
          <w:rFonts w:hint="eastAsia" w:ascii="TimesNewRoman" w:hAnsi="TimesNewRoman" w:eastAsia="仿宋_GB2312" w:cs="TimesNewRoman"/>
          <w:bCs/>
          <w:sz w:val="32"/>
          <w:szCs w:val="32"/>
        </w:rPr>
        <w:t>2025年政府购买服务支出表</w:t>
      </w:r>
    </w:p>
    <w:p w14:paraId="0D625F70">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w:t>
      </w:r>
      <w:r>
        <w:rPr>
          <w:rFonts w:hint="eastAsia" w:ascii="TimesNewRoman" w:hAnsi="TimesNewRoman" w:eastAsia="仿宋_GB2312" w:cs="TimesNewRoman"/>
          <w:bCs/>
          <w:sz w:val="32"/>
          <w:szCs w:val="32"/>
          <w:lang w:eastAsia="zh-CN"/>
        </w:rPr>
        <w:t>淮北市工业和信息化局</w:t>
      </w:r>
      <w:r>
        <w:rPr>
          <w:rFonts w:ascii="TimesNewRoman" w:hAnsi="TimesNewRoman" w:eastAsia="仿宋_GB2312" w:cs="TimesNewRoman"/>
          <w:bCs/>
          <w:sz w:val="32"/>
          <w:szCs w:val="32"/>
        </w:rPr>
        <w:t>2025年通用资产配置支出表</w:t>
      </w:r>
    </w:p>
    <w:p w14:paraId="66D157E7">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w:t>
      </w:r>
      <w:r>
        <w:rPr>
          <w:rFonts w:hint="eastAsia" w:ascii="TimesNewRoman" w:hAnsi="TimesNewRoman" w:eastAsia="仿宋_GB2312" w:cs="TimesNewRoman"/>
          <w:b/>
          <w:sz w:val="32"/>
          <w:szCs w:val="32"/>
          <w:lang w:eastAsia="zh-CN"/>
        </w:rPr>
        <w:t>部门</w:t>
      </w:r>
      <w:r>
        <w:rPr>
          <w:rFonts w:hint="eastAsia" w:ascii="TimesNewRoman" w:hAnsi="TimesNewRoman" w:eastAsia="仿宋_GB2312" w:cs="TimesNewRoman"/>
          <w:b/>
          <w:sz w:val="32"/>
          <w:szCs w:val="32"/>
        </w:rPr>
        <w:t>预算情况说明</w:t>
      </w:r>
    </w:p>
    <w:p w14:paraId="1C7170F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09E9CB7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7B0E6C4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266F7C2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07FFBD2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3AE06ACC">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5E4D9FBB">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44A55C4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2990C31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5F7A8A6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37B094B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475A59D0">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14:paraId="72C2756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13、</w:t>
      </w:r>
      <w:r>
        <w:rPr>
          <w:rFonts w:hint="eastAsia" w:ascii="TimesNewRoman" w:hAnsi="TimesNewRoman" w:eastAsia="仿宋_GB2312" w:cs="TimesNewRoman"/>
          <w:bCs/>
          <w:sz w:val="32"/>
          <w:szCs w:val="32"/>
        </w:rPr>
        <w:t>其他重要事项情况说明</w:t>
      </w:r>
    </w:p>
    <w:p w14:paraId="76F057C7">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7FA5E3E1">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458353B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淮北市工业和信息化局</w:t>
      </w:r>
      <w:r>
        <w:rPr>
          <w:rFonts w:hint="eastAsia" w:ascii="TimesNewRoman" w:hAnsi="TimesNewRoman" w:eastAsia="仿宋_GB2312" w:cs="TimesNewRoman"/>
          <w:bCs/>
          <w:sz w:val="32"/>
          <w:szCs w:val="32"/>
        </w:rPr>
        <w:t>2025年部门预算纳入绩效考评项目表</w:t>
      </w:r>
    </w:p>
    <w:p w14:paraId="73D68E1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淮北市工业和信息化局</w:t>
      </w:r>
      <w:r>
        <w:rPr>
          <w:rFonts w:hint="eastAsia" w:ascii="TimesNewRoman" w:hAnsi="TimesNewRoman" w:eastAsia="仿宋_GB2312" w:cs="TimesNewRoman"/>
          <w:bCs/>
          <w:sz w:val="32"/>
          <w:szCs w:val="32"/>
        </w:rPr>
        <w:t>2025年部门预算专项资金管理清单（专栏公开）</w:t>
      </w:r>
    </w:p>
    <w:p w14:paraId="035994D8">
      <w:pPr>
        <w:pStyle w:val="5"/>
        <w:adjustRightInd w:val="0"/>
        <w:snapToGrid w:val="0"/>
        <w:spacing w:line="400" w:lineRule="exact"/>
        <w:ind w:firstLine="800" w:firstLineChars="250"/>
        <w:rPr>
          <w:rFonts w:ascii="TimesNewRoman" w:hAnsi="TimesNewRoman" w:eastAsia="仿宋_GB2312" w:cs="TimesNewRoman"/>
          <w:bCs/>
          <w:sz w:val="32"/>
          <w:szCs w:val="32"/>
        </w:rPr>
      </w:pPr>
    </w:p>
    <w:p w14:paraId="1401D40C">
      <w:pPr>
        <w:pStyle w:val="5"/>
        <w:adjustRightInd w:val="0"/>
        <w:snapToGrid w:val="0"/>
        <w:spacing w:line="560" w:lineRule="exact"/>
        <w:jc w:val="center"/>
        <w:rPr>
          <w:rFonts w:hint="eastAsia" w:ascii="TimesNewRoman" w:hAnsi="TimesNewRoman" w:eastAsia="黑体" w:cs="TimesNewRoman"/>
          <w:bCs/>
          <w:sz w:val="36"/>
          <w:szCs w:val="36"/>
        </w:rPr>
      </w:pPr>
    </w:p>
    <w:p w14:paraId="7FE8565A">
      <w:pPr>
        <w:pStyle w:val="5"/>
        <w:adjustRightInd w:val="0"/>
        <w:snapToGrid w:val="0"/>
        <w:spacing w:line="560" w:lineRule="exact"/>
        <w:jc w:val="center"/>
        <w:rPr>
          <w:rFonts w:hint="eastAsia" w:ascii="TimesNewRoman" w:hAnsi="TimesNewRoman" w:eastAsia="黑体" w:cs="TimesNewRoman"/>
          <w:bCs/>
          <w:sz w:val="36"/>
          <w:szCs w:val="36"/>
        </w:rPr>
      </w:pPr>
    </w:p>
    <w:p w14:paraId="40E3F279">
      <w:pPr>
        <w:pStyle w:val="5"/>
        <w:adjustRightInd w:val="0"/>
        <w:snapToGrid w:val="0"/>
        <w:spacing w:line="560" w:lineRule="exact"/>
        <w:jc w:val="center"/>
        <w:rPr>
          <w:rFonts w:hint="eastAsia" w:ascii="TimesNewRoman" w:hAnsi="TimesNewRoman" w:eastAsia="黑体" w:cs="TimesNewRoman"/>
          <w:bCs/>
          <w:sz w:val="36"/>
          <w:szCs w:val="36"/>
        </w:rPr>
      </w:pPr>
    </w:p>
    <w:p w14:paraId="7F6ACFC9">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部门</w:t>
      </w:r>
      <w:r>
        <w:rPr>
          <w:rFonts w:hint="eastAsia" w:ascii="TimesNewRoman" w:hAnsi="TimesNewRoman" w:eastAsia="黑体" w:cs="TimesNewRoman"/>
          <w:bCs/>
          <w:sz w:val="36"/>
          <w:szCs w:val="36"/>
        </w:rPr>
        <w:t>概况</w:t>
      </w:r>
    </w:p>
    <w:p w14:paraId="6665443C"/>
    <w:p w14:paraId="26514A5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40704B1C">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（一）贯彻执行国家有关经济、信息化的法律法规规章，起草相关地方性法规规章草案。拟订并组织实施经济和信息化的发展规划，推进产业结构战略性调整和优化升级，推进信息化和工业化融合发展。</w:t>
      </w:r>
    </w:p>
    <w:p w14:paraId="164C74CE">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（二）制定并组织实施工业、信息化相关行业的规划、计划和产业政策，提出优化产业布局、结构的政策建议。拟定行业技术规范与行业标准并组织实施，指导行业质量管理和安全生产管理工作。</w:t>
      </w:r>
    </w:p>
    <w:p w14:paraId="2CD3ADDD">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（三）监测研判经济运行态势，收集、整理、分析和发布经济信息，提出相关政策建议，协调经济运行中的重大问题。承担工业、信息化相关行业应急管理、产业安全和国防动员有关工作。</w:t>
      </w:r>
    </w:p>
    <w:p w14:paraId="38D658BA">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（四）负责提出工业、信息化技术改造投资规模和方向的建议。按照规定权限，对工业和信息化固定资产投资项目进行备案，并对重点项目进行管理和督查。</w:t>
      </w:r>
    </w:p>
    <w:p w14:paraId="178872BB">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（五）指导工业和信息化领域技术创新、技术进步，推动企业技术创新、技术进步、技术引进和重大技术装备研制，推进高新技术与传统工业改造结合。推动产学研联合和相关科研成果产业化。</w:t>
      </w:r>
    </w:p>
    <w:p w14:paraId="1F3DD571">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六）拟订工业、信息化相关产业的能源节约、资源综合利用、清洁生产促进政策并组织实施。参与拟定能源节约和资源综合利用、清洁生产促进规划。组织协调相关示范工程和新产品、新技术、新设备、新材料的推广应用。指导和协调工业环境保护和节能环保产业的发展，推进绿色制造。</w:t>
      </w:r>
    </w:p>
    <w:p w14:paraId="5B5AB9C6">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（七）负责全市盐业行业管理和医药储备管理。</w:t>
      </w:r>
    </w:p>
    <w:p w14:paraId="345DC257">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（八）负责中小企业和民营经济发展的指导、协调和服务，拟订促进中小企业和民营经济发展的相关政策措施，协调解决有关重大问题。推进与中央企业合作发展工作。</w:t>
      </w:r>
    </w:p>
    <w:p w14:paraId="13130E7C">
      <w:pPr>
        <w:pStyle w:val="5"/>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lang w:val="en-US" w:eastAsia="zh-CN"/>
        </w:rPr>
        <w:t>九</w:t>
      </w:r>
      <w:r>
        <w:rPr>
          <w:rFonts w:hint="eastAsia" w:ascii="TimesNewRoman" w:hAnsi="TimesNewRoman" w:eastAsia="仿宋_GB2312" w:cs="TimesNewRoman"/>
          <w:bCs/>
          <w:sz w:val="32"/>
          <w:szCs w:val="32"/>
          <w:lang w:eastAsia="zh-CN"/>
        </w:rPr>
        <w:t>）</w:t>
      </w:r>
      <w:r>
        <w:rPr>
          <w:rFonts w:hint="eastAsia" w:ascii="TimesNewRoman" w:hAnsi="TimesNewRoman" w:eastAsia="仿宋_GB2312" w:cs="TimesNewRoman"/>
          <w:bCs/>
          <w:sz w:val="32"/>
          <w:szCs w:val="32"/>
        </w:rPr>
        <w:t>统筹推进全市工业领域信息化发展和信息安全保障工作，研究拟定相关政策措施并协调重大问题。负责推进电子信息产品制造业、软件和信息服务业等信息技术产业发展，促进通信网、广播电视网和计算机网融合发展。</w:t>
      </w:r>
    </w:p>
    <w:p w14:paraId="03B7E4CC">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部门</w:t>
      </w:r>
      <w:r>
        <w:rPr>
          <w:rFonts w:hint="eastAsia" w:ascii="TimesNewRoman" w:hAnsi="TimesNewRoman" w:eastAsia="黑体" w:cs="TimesNewRoman"/>
          <w:bCs/>
          <w:sz w:val="32"/>
          <w:szCs w:val="32"/>
        </w:rPr>
        <w:t>预算构成</w:t>
      </w:r>
    </w:p>
    <w:p w14:paraId="00DC942F">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lang w:eastAsia="zh-CN"/>
        </w:rPr>
        <w:t>淮北市工业和信息化局</w:t>
      </w:r>
      <w:r>
        <w:rPr>
          <w:rFonts w:hint="eastAsia" w:ascii="TimesNewRoman" w:hAnsi="TimesNewRoman" w:eastAsia="仿宋_GB2312" w:cs="TimesNewRoman"/>
          <w:sz w:val="32"/>
          <w:szCs w:val="32"/>
        </w:rPr>
        <w:t>2025年度部门预算包括局本级预算和局下属单位预算，纳入部门预算编制范围的预算单位共</w:t>
      </w:r>
      <w:r>
        <w:rPr>
          <w:rFonts w:hint="eastAsia" w:ascii="TimesNewRoman" w:hAnsi="TimesNewRoman" w:eastAsia="仿宋_GB2312" w:cs="TimesNewRoman"/>
          <w:sz w:val="32"/>
          <w:szCs w:val="32"/>
          <w:lang w:val="en-US" w:eastAsia="zh-CN"/>
        </w:rPr>
        <w:t>2</w:t>
      </w:r>
      <w:r>
        <w:rPr>
          <w:rFonts w:hint="eastAsia" w:ascii="TimesNewRoman" w:hAnsi="TimesNewRoman" w:eastAsia="仿宋_GB2312" w:cs="TimesNewRoman"/>
          <w:sz w:val="32"/>
          <w:szCs w:val="32"/>
        </w:rPr>
        <w:t>个，具体情况见下表。</w:t>
      </w:r>
    </w:p>
    <w:tbl>
      <w:tblPr>
        <w:tblStyle w:val="6"/>
        <w:tblW w:w="8540" w:type="dxa"/>
        <w:jc w:val="center"/>
        <w:tblLayout w:type="fixed"/>
        <w:tblCellMar>
          <w:top w:w="0" w:type="dxa"/>
          <w:left w:w="0" w:type="dxa"/>
          <w:bottom w:w="0" w:type="dxa"/>
          <w:right w:w="0" w:type="dxa"/>
        </w:tblCellMar>
      </w:tblPr>
      <w:tblGrid>
        <w:gridCol w:w="854"/>
        <w:gridCol w:w="3416"/>
        <w:gridCol w:w="4270"/>
      </w:tblGrid>
      <w:tr w14:paraId="1CD3627C">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0375A2">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1F4059B">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14:paraId="5A19F374">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14:paraId="4E0F0641">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B9FD08">
            <w:pPr>
              <w:adjustRightInd w:val="0"/>
              <w:snapToGrid w:val="0"/>
              <w:spacing w:line="560" w:lineRule="exact"/>
              <w:jc w:val="center"/>
              <w:rPr>
                <w:rFonts w:ascii="TimesNewRoman" w:hAnsi="TimesNewRoman" w:cs="TimesNewRoman"/>
                <w:sz w:val="24"/>
              </w:rPr>
            </w:pPr>
            <w:r>
              <w:rPr>
                <w:rFonts w:ascii="TimesNewRoman" w:hAnsi="TimesNewRoman" w:cs="TimesNewRoman"/>
                <w:sz w:val="24"/>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6C418B">
            <w:pPr>
              <w:adjustRightInd w:val="0"/>
              <w:snapToGrid w:val="0"/>
              <w:spacing w:line="560" w:lineRule="exact"/>
              <w:jc w:val="center"/>
              <w:rPr>
                <w:rFonts w:ascii="TimesNewRoman" w:hAnsi="TimesNewRoman" w:cs="TimesNewRoman"/>
                <w:sz w:val="24"/>
                <w:u w:val="single"/>
              </w:rPr>
            </w:pPr>
            <w:r>
              <w:rPr>
                <w:rFonts w:hint="eastAsia" w:ascii="TimesNewRoman" w:hAnsi="TimesNewRoman" w:cs="TimesNewRoman"/>
                <w:bCs/>
                <w:sz w:val="24"/>
                <w:lang w:eastAsia="zh-CN"/>
              </w:rPr>
              <w:t>淮北市</w:t>
            </w:r>
            <w:r>
              <w:rPr>
                <w:rFonts w:hint="eastAsia" w:ascii="TimesNewRoman" w:hAnsi="TimesNewRoman" w:cs="TimesNewRoman"/>
                <w:bCs/>
                <w:sz w:val="24"/>
                <w:lang w:val="en-US" w:eastAsia="zh-CN"/>
              </w:rPr>
              <w:t>工业</w:t>
            </w:r>
            <w:r>
              <w:rPr>
                <w:rFonts w:hint="eastAsia" w:ascii="TimesNewRoman" w:hAnsi="TimesNewRoman" w:cs="TimesNewRoman"/>
                <w:bCs/>
                <w:sz w:val="24"/>
                <w:lang w:eastAsia="zh-CN"/>
              </w:rPr>
              <w:t>和信息化局</w:t>
            </w:r>
            <w:r>
              <w:rPr>
                <w:rFonts w:ascii="TimesNewRoman" w:hAnsi="TimesNewRoman" w:cs="TimesNewRoman"/>
                <w:bCs/>
                <w:sz w:val="24"/>
              </w:rPr>
              <w:t>本级</w:t>
            </w:r>
          </w:p>
        </w:tc>
        <w:tc>
          <w:tcPr>
            <w:tcW w:w="4270" w:type="dxa"/>
            <w:tcBorders>
              <w:top w:val="nil"/>
              <w:left w:val="nil"/>
              <w:bottom w:val="single" w:color="auto" w:sz="8" w:space="0"/>
              <w:right w:val="single" w:color="auto" w:sz="8" w:space="0"/>
            </w:tcBorders>
            <w:shd w:val="clear" w:color="auto" w:fill="FFFFFF"/>
            <w:vAlign w:val="center"/>
          </w:tcPr>
          <w:p w14:paraId="5CA8A5CD">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行政单位</w:t>
            </w:r>
          </w:p>
        </w:tc>
      </w:tr>
      <w:tr w14:paraId="57E803EC">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6768E9C">
            <w:pPr>
              <w:adjustRightInd w:val="0"/>
              <w:snapToGrid w:val="0"/>
              <w:spacing w:line="560" w:lineRule="exact"/>
              <w:jc w:val="center"/>
              <w:rPr>
                <w:rFonts w:ascii="TimesNewRoman" w:hAnsi="TimesNewRoman" w:cs="TimesNewRoman"/>
                <w:sz w:val="24"/>
              </w:rPr>
            </w:pPr>
            <w:r>
              <w:rPr>
                <w:rFonts w:ascii="TimesNewRoman" w:hAnsi="TimesNewRoman" w:cs="TimesNewRoman"/>
                <w:sz w:val="24"/>
              </w:rPr>
              <w:t>2</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F82C97">
            <w:pPr>
              <w:adjustRightInd w:val="0"/>
              <w:snapToGrid w:val="0"/>
              <w:spacing w:line="560" w:lineRule="exact"/>
              <w:jc w:val="center"/>
              <w:rPr>
                <w:rFonts w:ascii="TimesNewRoman" w:hAnsi="TimesNewRoman" w:cs="TimesNewRoman"/>
                <w:sz w:val="24"/>
                <w:u w:val="single"/>
              </w:rPr>
            </w:pPr>
            <w:r>
              <w:rPr>
                <w:rFonts w:hint="eastAsia" w:ascii="TimesNewRoman" w:hAnsi="TimesNewRoman" w:cs="TimesNewRoman"/>
                <w:sz w:val="24"/>
                <w:u w:val="none"/>
              </w:rPr>
              <w:t>淮北市企业服务中心</w:t>
            </w:r>
          </w:p>
        </w:tc>
        <w:tc>
          <w:tcPr>
            <w:tcW w:w="4270" w:type="dxa"/>
            <w:tcBorders>
              <w:top w:val="nil"/>
              <w:left w:val="nil"/>
              <w:bottom w:val="single" w:color="auto" w:sz="8" w:space="0"/>
              <w:right w:val="single" w:color="auto" w:sz="8" w:space="0"/>
            </w:tcBorders>
            <w:shd w:val="clear" w:color="auto" w:fill="FFFFFF"/>
            <w:vAlign w:val="center"/>
          </w:tcPr>
          <w:p w14:paraId="0C1ECB31">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参照公务员法管理的事业单位</w:t>
            </w:r>
          </w:p>
        </w:tc>
      </w:tr>
    </w:tbl>
    <w:p w14:paraId="4BF3CFE8">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065B57D8">
      <w:pPr>
        <w:pStyle w:val="5"/>
        <w:adjustRightInd w:val="0"/>
        <w:snapToGrid w:val="0"/>
        <w:spacing w:line="560" w:lineRule="exact"/>
        <w:ind w:firstLine="627" w:firstLineChars="196"/>
        <w:rPr>
          <w:rFonts w:hint="eastAsia" w:ascii="TimesNewRoman" w:hAnsi="TimesNewRoman" w:eastAsia="仿宋_GB2312" w:cs="TimesNewRoman"/>
          <w:bCs/>
          <w:sz w:val="32"/>
          <w:szCs w:val="32"/>
          <w:lang w:val="en-US" w:eastAsia="zh-CN"/>
        </w:rPr>
      </w:pPr>
      <w:r>
        <w:rPr>
          <w:rFonts w:hint="eastAsia" w:ascii="TimesNewRoman" w:hAnsi="TimesNewRoman" w:eastAsia="仿宋_GB2312" w:cs="TimesNewRoman"/>
          <w:bCs/>
          <w:sz w:val="32"/>
          <w:szCs w:val="32"/>
        </w:rPr>
        <w:t>（一）</w:t>
      </w:r>
      <w:r>
        <w:rPr>
          <w:rFonts w:hint="eastAsia" w:ascii="TimesNewRoman" w:hAnsi="TimesNewRoman" w:eastAsia="仿宋_GB2312" w:cs="TimesNewRoman"/>
          <w:bCs/>
          <w:sz w:val="32"/>
          <w:szCs w:val="32"/>
          <w:lang w:val="en-US" w:eastAsia="zh-CN"/>
        </w:rPr>
        <w:t xml:space="preserve"> 坚持以习近平新时代中国特色社会主义思想为指导，全面贯彻党的二十大精神和习近平总书记关于新型工业化的重要论述，全力稳存量、拓增量、提质量、控变量，全力稳增长、促转型、强动能、优服务。力争全年规上工业增加值增长5.5%左右，工业投资、技术改造投资均增长15%，制造业投资增长20%，滚动实施亿元以上重点技术改造项目80个，规上企业数字化转型覆盖率90%左右。一是稳运行。紧盯2025年主要经济指标预期目标，精准分解任务，压实责任、传导压力，凝聚合力稳增长。强化对前100家重点工业企业的生产监测，实施“月初摸排、月中预测、月末修正”工业运行三轮监测，加强重点企业走访，收集问题，清单化、闭环式管理，助推企业做大做强。紧盯532个存增两量增长点，紧抓调度和服务，促进增长点快释放、早贡献。</w:t>
      </w:r>
    </w:p>
    <w:p w14:paraId="24B85531">
      <w:pPr>
        <w:pStyle w:val="5"/>
        <w:adjustRightInd w:val="0"/>
        <w:snapToGrid w:val="0"/>
        <w:spacing w:line="560" w:lineRule="exact"/>
        <w:ind w:firstLine="627" w:firstLineChars="196"/>
        <w:rPr>
          <w:rFonts w:hint="eastAsia" w:ascii="TimesNewRoman" w:hAnsi="TimesNewRoman" w:eastAsia="仿宋_GB2312" w:cs="TimesNewRoman"/>
          <w:bCs/>
          <w:sz w:val="32"/>
          <w:szCs w:val="32"/>
          <w:lang w:val="en-US" w:eastAsia="zh-CN"/>
        </w:rPr>
      </w:pPr>
      <w:r>
        <w:rPr>
          <w:rFonts w:hint="eastAsia" w:ascii="TimesNewRoman" w:hAnsi="TimesNewRoman" w:eastAsia="仿宋_GB2312" w:cs="TimesNewRoman"/>
          <w:bCs/>
          <w:sz w:val="32"/>
          <w:szCs w:val="32"/>
          <w:lang w:val="en-US" w:eastAsia="zh-CN"/>
        </w:rPr>
        <w:t>（二）抓项目。充分利用世界制造业大会平台，积极对接名企优企，加快推动签约项目早日开工建设。围绕“双招双引”、数字化转型、节能降碳、环保整治、安全改造、矿权出让等方面，谋划和实施好2025年工业项目。用好“红黄绿”项目闭环管理机制，调度未达序时进度项目，加强项目现场摸排，帮助解决困难问题。</w:t>
      </w:r>
    </w:p>
    <w:p w14:paraId="476FC631">
      <w:pPr>
        <w:pStyle w:val="5"/>
        <w:adjustRightInd w:val="0"/>
        <w:snapToGrid w:val="0"/>
        <w:spacing w:line="560" w:lineRule="exact"/>
        <w:ind w:firstLine="627" w:firstLineChars="196"/>
        <w:rPr>
          <w:rFonts w:hint="eastAsia" w:ascii="TimesNewRoman" w:hAnsi="TimesNewRoman" w:eastAsia="仿宋_GB2312" w:cs="TimesNewRoman"/>
          <w:bCs/>
          <w:sz w:val="32"/>
          <w:szCs w:val="32"/>
          <w:lang w:val="en-US" w:eastAsia="zh-CN"/>
        </w:rPr>
      </w:pPr>
      <w:r>
        <w:rPr>
          <w:rFonts w:hint="eastAsia" w:ascii="TimesNewRoman" w:hAnsi="TimesNewRoman" w:eastAsia="仿宋_GB2312" w:cs="TimesNewRoman"/>
          <w:bCs/>
          <w:sz w:val="32"/>
          <w:szCs w:val="32"/>
          <w:lang w:val="en-US" w:eastAsia="zh-CN"/>
        </w:rPr>
        <w:t>（三）促升级。推动技术创新示范企业“提标进位”，培育省级企业技术中心10家、质量标杆10家。组织开展工业设计进企业进园区，培育一批省级工业设计中心、服务型制造示范企业。加速推动数实融合，聚焦“智改数转网联”，加快实现规上工业企业数字化改造全覆盖。重点培育20个数字化转型标杆示范项目，省级智能工厂和数字化车间15家以上。加快建设绿色制造体系，培育创建一批国家级绿色工厂、绿色园区、绿色供应链管理企业。</w:t>
      </w:r>
    </w:p>
    <w:p w14:paraId="1E0AB41F">
      <w:pPr>
        <w:pStyle w:val="5"/>
        <w:adjustRightInd w:val="0"/>
        <w:snapToGrid w:val="0"/>
        <w:spacing w:line="560" w:lineRule="exact"/>
        <w:ind w:firstLine="627" w:firstLineChars="196"/>
        <w:rPr>
          <w:rFonts w:hint="eastAsia" w:ascii="TimesNewRoman" w:hAnsi="TimesNewRoman" w:eastAsia="仿宋_GB2312" w:cs="TimesNewRoman"/>
          <w:bCs/>
          <w:sz w:val="32"/>
          <w:szCs w:val="32"/>
          <w:lang w:val="en-US" w:eastAsia="zh-CN"/>
        </w:rPr>
      </w:pPr>
      <w:r>
        <w:rPr>
          <w:rFonts w:hint="eastAsia" w:ascii="TimesNewRoman" w:hAnsi="TimesNewRoman" w:eastAsia="仿宋_GB2312" w:cs="TimesNewRoman"/>
          <w:bCs/>
          <w:sz w:val="32"/>
          <w:szCs w:val="32"/>
          <w:lang w:val="en-US" w:eastAsia="zh-CN"/>
        </w:rPr>
        <w:t>（四）谋产业。聚焦汽车及零部件、新能源、新材料、绿色食品四大主导产业，按照“一产业一专班、一方案、一政策”原则，持续完善专班工作机制，加强产业研究，在人才引进等方面强化政策保障，加快构建完整产业链条。强化区域合作分工，培育发展一批优势明显、协同高效的细分领域特色产业，建设好濉溪高端铝基复合材料国家级中小企业特色产业集群、杜集矿山机械装备省级中小企业特色产业集群。</w:t>
      </w:r>
    </w:p>
    <w:p w14:paraId="2DFBB550">
      <w:pPr>
        <w:pStyle w:val="5"/>
        <w:adjustRightInd w:val="0"/>
        <w:snapToGrid w:val="0"/>
        <w:spacing w:line="560" w:lineRule="exact"/>
        <w:ind w:firstLine="627" w:firstLineChars="196"/>
        <w:rPr>
          <w:rFonts w:hint="eastAsia" w:ascii="TimesNewRoman" w:hAnsi="TimesNewRoman" w:eastAsia="仿宋_GB2312" w:cs="TimesNewRoman"/>
          <w:bCs/>
          <w:sz w:val="32"/>
          <w:szCs w:val="32"/>
          <w:lang w:val="en-US" w:eastAsia="zh-CN"/>
        </w:rPr>
      </w:pPr>
      <w:r>
        <w:rPr>
          <w:rFonts w:hint="eastAsia" w:ascii="TimesNewRoman" w:hAnsi="TimesNewRoman" w:eastAsia="仿宋_GB2312" w:cs="TimesNewRoman"/>
          <w:bCs/>
          <w:sz w:val="32"/>
          <w:szCs w:val="32"/>
          <w:lang w:val="en-US" w:eastAsia="zh-CN"/>
        </w:rPr>
        <w:t>（五）育企业。完善百亿、五十亿、十亿企业培育库，动态遴选培育对象，力争每个重点产业链培育一批产业生态主导型“链主”企业。梯度培育“专精特新”企业。坚定支持中小企业走专精特新发展之路，“一企一档”建立培育档案，定期组织技术、融资走访服务，推动向产业链价值链中高端攀登。深度培育规上企业。加大调度力度，鼓励企业边建设边生产，尽快量产达产。</w:t>
      </w:r>
    </w:p>
    <w:p w14:paraId="59255041">
      <w:pPr>
        <w:pStyle w:val="5"/>
        <w:adjustRightInd w:val="0"/>
        <w:snapToGrid w:val="0"/>
        <w:spacing w:line="560" w:lineRule="exact"/>
        <w:ind w:firstLine="627" w:firstLineChars="196"/>
        <w:rPr>
          <w:rFonts w:hint="eastAsia" w:ascii="TimesNewRoman" w:hAnsi="TimesNewRoman" w:eastAsia="仿宋_GB2312" w:cs="TimesNewRoman"/>
          <w:bCs/>
          <w:sz w:val="32"/>
          <w:szCs w:val="32"/>
          <w:lang w:val="en-US" w:eastAsia="zh-CN"/>
        </w:rPr>
      </w:pPr>
      <w:r>
        <w:rPr>
          <w:rFonts w:hint="eastAsia" w:ascii="TimesNewRoman" w:hAnsi="TimesNewRoman" w:eastAsia="仿宋_GB2312" w:cs="TimesNewRoman"/>
          <w:bCs/>
          <w:sz w:val="32"/>
          <w:szCs w:val="32"/>
          <w:lang w:val="en-US" w:eastAsia="zh-CN"/>
        </w:rPr>
        <w:t>（六）提质效。深化“亩均论英雄”改革，持续优化工业企业亩均效益评价办法，坚持以评促用，以用为先，学习借鉴外地市好的政策举措，完善我市亩均效益差别化政策，增加正向激励政策“覆盖面”和“含金量”，引导企业对标提升、提质增效。加快低效工业用地处置，扎实开展批而未用土地专项清理处置和低效工业用地企业整治提升三年行动，推动开发区新旧动能转换，实现“腾笼换鸟”</w:t>
      </w:r>
      <w:r>
        <w:rPr>
          <w:rFonts w:hint="eastAsia" w:ascii="TimesNewRoman" w:hAnsi="TimesNewRoman" w:eastAsia="仿宋_GB2312" w:cs="TimesNewRoman"/>
          <w:bCs/>
          <w:sz w:val="32"/>
          <w:szCs w:val="32"/>
          <w:lang w:val="en" w:eastAsia="zh-CN"/>
        </w:rPr>
        <w:t>。</w:t>
      </w:r>
      <w:r>
        <w:rPr>
          <w:rFonts w:hint="eastAsia" w:ascii="TimesNewRoman" w:hAnsi="TimesNewRoman" w:eastAsia="仿宋_GB2312" w:cs="TimesNewRoman"/>
          <w:bCs/>
          <w:sz w:val="32"/>
          <w:szCs w:val="32"/>
          <w:lang w:val="en-US" w:eastAsia="zh-CN"/>
        </w:rPr>
        <w:t>全面提升质量品牌，培育打造一批安徽工业精品。</w:t>
      </w:r>
    </w:p>
    <w:p w14:paraId="7386A586">
      <w:pPr>
        <w:pStyle w:val="5"/>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七）优服务。优化提升市企业服务中心功能，强化企业管理人才培养，搭建民营企业家交流互动平台，定期“点菜式”开展“淮商大讲堂”等培训活动。持续优化营商环境，完善与民营企业沟通交流机制，定期召开民营企业家恳谈会，深化“千名干部进千企”沟通交流作用，建立健全民营企业诉求闭环办理机制。持续健全防范和化解拖欠企业账款长效机制，确保全面完成清欠专项行动。</w:t>
      </w:r>
    </w:p>
    <w:p w14:paraId="05B33829"/>
    <w:p w14:paraId="6D929D35">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w:t>
      </w:r>
      <w:r>
        <w:rPr>
          <w:rFonts w:hint="eastAsia" w:ascii="TimesNewRoman" w:hAnsi="TimesNewRoman" w:eastAsia="黑体" w:cs="TimesNewRoman"/>
          <w:bCs/>
          <w:sz w:val="36"/>
          <w:szCs w:val="36"/>
          <w:lang w:eastAsia="zh-CN"/>
        </w:rPr>
        <w:t>部门</w:t>
      </w:r>
      <w:r>
        <w:rPr>
          <w:rFonts w:hint="eastAsia" w:ascii="TimesNewRoman" w:hAnsi="TimesNewRoman" w:eastAsia="黑体" w:cs="TimesNewRoman"/>
          <w:bCs/>
          <w:sz w:val="36"/>
          <w:szCs w:val="36"/>
        </w:rPr>
        <w:t>预算表</w:t>
      </w:r>
    </w:p>
    <w:p w14:paraId="36F121F3">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6B49A7EA">
      <w:r>
        <w:t xml:space="preserve">                                        </w:t>
      </w:r>
    </w:p>
    <w:p w14:paraId="638E8A79">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w:t>
      </w:r>
      <w:r>
        <w:rPr>
          <w:rFonts w:hint="eastAsia" w:ascii="TimesNewRoman" w:hAnsi="TimesNewRoman" w:eastAsia="黑体" w:cs="TimesNewRoman"/>
          <w:bCs/>
          <w:sz w:val="36"/>
          <w:szCs w:val="36"/>
          <w:lang w:eastAsia="zh-CN"/>
        </w:rPr>
        <w:t>部门</w:t>
      </w:r>
      <w:r>
        <w:rPr>
          <w:rFonts w:hint="eastAsia" w:ascii="TimesNewRoman" w:hAnsi="TimesNewRoman" w:eastAsia="黑体" w:cs="TimesNewRoman"/>
          <w:bCs/>
          <w:sz w:val="36"/>
          <w:szCs w:val="36"/>
        </w:rPr>
        <w:t>预算情况说明</w:t>
      </w:r>
    </w:p>
    <w:p w14:paraId="4E39569F"/>
    <w:p w14:paraId="3CBD21D3">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548DE3C6">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sz w:val="32"/>
          <w:szCs w:val="32"/>
          <w:lang w:eastAsia="zh-CN"/>
        </w:rPr>
        <w:t>淮北市工业和信息化局</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部门</w:t>
      </w:r>
      <w:r>
        <w:rPr>
          <w:rFonts w:hint="eastAsia" w:ascii="TimesNewRoman" w:hAnsi="TimesNewRoman" w:eastAsia="仿宋_GB2312" w:cs="TimesNewRoman"/>
          <w:sz w:val="32"/>
          <w:szCs w:val="32"/>
        </w:rPr>
        <w:t>预算管理。</w:t>
      </w:r>
      <w:r>
        <w:rPr>
          <w:rFonts w:hint="eastAsia" w:ascii="TimesNewRoman" w:hAnsi="TimesNewRoman" w:eastAsia="仿宋_GB2312" w:cs="TimesNewRoman"/>
          <w:sz w:val="32"/>
          <w:szCs w:val="32"/>
          <w:lang w:eastAsia="zh-CN"/>
        </w:rPr>
        <w:t>淮北市工业和信息化局</w:t>
      </w:r>
      <w:r>
        <w:rPr>
          <w:rFonts w:hint="eastAsia" w:ascii="TimesNewRoman" w:hAnsi="TimesNewRoman" w:eastAsia="仿宋_GB2312" w:cs="TimesNewRoman"/>
          <w:sz w:val="32"/>
          <w:szCs w:val="32"/>
        </w:rPr>
        <w:t>2025年收支总预算9</w:t>
      </w:r>
      <w:r>
        <w:rPr>
          <w:rFonts w:hint="eastAsia" w:ascii="TimesNewRoman" w:hAnsi="TimesNewRoman" w:eastAsia="仿宋_GB2312" w:cs="TimesNewRoman"/>
          <w:sz w:val="32"/>
          <w:szCs w:val="32"/>
          <w:lang w:val="en-US" w:eastAsia="zh-CN"/>
        </w:rPr>
        <w:t>,</w:t>
      </w:r>
      <w:r>
        <w:rPr>
          <w:rFonts w:hint="eastAsia" w:ascii="TimesNewRoman" w:hAnsi="TimesNewRoman" w:eastAsia="仿宋_GB2312" w:cs="TimesNewRoman"/>
          <w:sz w:val="32"/>
          <w:szCs w:val="32"/>
        </w:rPr>
        <w:t>524.03万元，收入全部是一般公共预算拨款收入9</w:t>
      </w:r>
      <w:r>
        <w:rPr>
          <w:rFonts w:hint="eastAsia" w:ascii="TimesNewRoman" w:hAnsi="TimesNewRoman" w:eastAsia="仿宋_GB2312" w:cs="TimesNewRoman"/>
          <w:sz w:val="32"/>
          <w:szCs w:val="32"/>
          <w:lang w:val="en-US" w:eastAsia="zh-CN"/>
        </w:rPr>
        <w:t>,</w:t>
      </w:r>
      <w:r>
        <w:rPr>
          <w:rFonts w:hint="eastAsia" w:ascii="TimesNewRoman" w:hAnsi="TimesNewRoman" w:eastAsia="仿宋_GB2312" w:cs="TimesNewRoman"/>
          <w:sz w:val="32"/>
          <w:szCs w:val="32"/>
        </w:rPr>
        <w:t>524.03万元，支出包括：社会保障和就业支出、卫生健康支出、资源勘探工业信息等支出</w:t>
      </w:r>
      <w:r>
        <w:rPr>
          <w:rFonts w:hint="eastAsia" w:ascii="TimesNewRoman" w:hAnsi="TimesNewRoman" w:eastAsia="仿宋_GB2312" w:cs="TimesNewRoman"/>
          <w:sz w:val="32"/>
          <w:szCs w:val="32"/>
          <w:lang w:eastAsia="zh-CN"/>
        </w:rPr>
        <w:t>、</w:t>
      </w:r>
      <w:r>
        <w:rPr>
          <w:rFonts w:hint="eastAsia" w:ascii="TimesNewRoman" w:hAnsi="TimesNewRoman" w:eastAsia="仿宋_GB2312" w:cs="TimesNewRoman"/>
          <w:sz w:val="32"/>
          <w:szCs w:val="32"/>
        </w:rPr>
        <w:t>住房保障支出。</w:t>
      </w:r>
    </w:p>
    <w:p w14:paraId="3EC0DA9E">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2184F6F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淮北市工业和信息化局</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sz w:val="32"/>
          <w:szCs w:val="32"/>
        </w:rPr>
        <w:t>9</w:t>
      </w:r>
      <w:r>
        <w:rPr>
          <w:rFonts w:hint="eastAsia" w:ascii="TimesNewRoman" w:hAnsi="TimesNewRoman" w:eastAsia="仿宋_GB2312" w:cs="TimesNewRoman"/>
          <w:sz w:val="32"/>
          <w:szCs w:val="32"/>
          <w:lang w:val="en-US" w:eastAsia="zh-CN"/>
        </w:rPr>
        <w:t>,</w:t>
      </w:r>
      <w:r>
        <w:rPr>
          <w:rFonts w:hint="eastAsia" w:ascii="TimesNewRoman" w:hAnsi="TimesNewRoman" w:eastAsia="仿宋_GB2312" w:cs="TimesNewRoman"/>
          <w:sz w:val="32"/>
          <w:szCs w:val="32"/>
        </w:rPr>
        <w:t>524.03</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rPr>
        <w:t>9</w:t>
      </w:r>
      <w:r>
        <w:rPr>
          <w:rFonts w:hint="eastAsia" w:ascii="TimesNewRoman" w:hAnsi="TimesNewRoman" w:eastAsia="仿宋_GB2312" w:cs="TimesNewRoman"/>
          <w:sz w:val="32"/>
          <w:szCs w:val="32"/>
          <w:lang w:val="en-US" w:eastAsia="zh-CN"/>
        </w:rPr>
        <w:t>,</w:t>
      </w:r>
      <w:r>
        <w:rPr>
          <w:rFonts w:hint="eastAsia" w:ascii="TimesNewRoman" w:hAnsi="TimesNewRoman" w:eastAsia="仿宋_GB2312" w:cs="TimesNewRoman"/>
          <w:sz w:val="32"/>
          <w:szCs w:val="32"/>
        </w:rPr>
        <w:t>524.03</w:t>
      </w:r>
      <w:r>
        <w:rPr>
          <w:rFonts w:hint="eastAsia" w:ascii="TimesNewRoman" w:hAnsi="TimesNewRoman" w:eastAsia="仿宋_GB2312" w:cs="TimesNewRoman"/>
          <w:kern w:val="0"/>
          <w:sz w:val="32"/>
          <w:szCs w:val="32"/>
        </w:rPr>
        <w:t>万元。</w:t>
      </w:r>
    </w:p>
    <w:p w14:paraId="1F1BAEDC">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（一）本年收入9</w:t>
      </w:r>
      <w:r>
        <w:rPr>
          <w:rFonts w:hint="eastAsia" w:ascii="TimesNewRoman" w:hAnsi="TimesNewRoman" w:eastAsia="仿宋_GB2312" w:cs="TimesNewRoman"/>
          <w:b/>
          <w:kern w:val="0"/>
          <w:sz w:val="32"/>
          <w:szCs w:val="32"/>
          <w:lang w:val="en-US" w:eastAsia="zh-CN"/>
        </w:rPr>
        <w:t>,</w:t>
      </w:r>
      <w:r>
        <w:rPr>
          <w:rFonts w:hint="eastAsia" w:ascii="TimesNewRoman" w:hAnsi="TimesNewRoman" w:eastAsia="仿宋_GB2312" w:cs="TimesNewRoman"/>
          <w:b/>
          <w:kern w:val="0"/>
          <w:sz w:val="32"/>
          <w:szCs w:val="32"/>
        </w:rPr>
        <w:t>524.03万元，</w:t>
      </w:r>
      <w:r>
        <w:rPr>
          <w:rFonts w:hint="eastAsia" w:ascii="TimesNewRoman" w:hAnsi="TimesNewRoman" w:eastAsia="仿宋_GB2312" w:cs="TimesNewRoman"/>
          <w:kern w:val="0"/>
          <w:sz w:val="32"/>
          <w:szCs w:val="32"/>
        </w:rPr>
        <w:t>主要包括：一般公共预算拨款收入9</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524.03万元，占</w:t>
      </w:r>
      <w:r>
        <w:rPr>
          <w:rFonts w:hint="eastAsia" w:ascii="TimesNewRoman" w:hAnsi="TimesNewRoman" w:eastAsia="仿宋_GB2312" w:cs="TimesNewRoman"/>
          <w:kern w:val="0"/>
          <w:sz w:val="32"/>
          <w:szCs w:val="32"/>
          <w:lang w:val="en-US" w:eastAsia="zh-CN"/>
        </w:rPr>
        <w:t>100.00</w:t>
      </w:r>
      <w:r>
        <w:rPr>
          <w:rFonts w:hint="eastAsia" w:ascii="TimesNewRoman" w:hAnsi="TimesNewRoman" w:eastAsia="仿宋_GB2312" w:cs="TimesNewRoman"/>
          <w:kern w:val="0"/>
          <w:sz w:val="32"/>
          <w:szCs w:val="32"/>
        </w:rPr>
        <w:t>%，比2024年预算减少40.3</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万元，下降0.42%，原因主要是</w:t>
      </w:r>
      <w:r>
        <w:rPr>
          <w:rFonts w:hint="eastAsia" w:ascii="TimesNewRoman" w:hAnsi="TimesNewRoman" w:eastAsia="仿宋_GB2312" w:cs="TimesNewRoman"/>
          <w:kern w:val="0"/>
          <w:sz w:val="32"/>
          <w:szCs w:val="32"/>
          <w:lang w:val="en-US" w:eastAsia="zh-CN"/>
        </w:rPr>
        <w:t>人员变动，压缩经费，减少了项目支出工业经济发展第三方项目服务费、中小企业发展促进中心专项经费</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%，原因主要是本</w:t>
      </w:r>
      <w:r>
        <w:rPr>
          <w:rFonts w:hint="eastAsia" w:ascii="TimesNewRoman" w:hAnsi="TimesNewRoman" w:eastAsia="仿宋_GB2312" w:cs="TimesNewRoman"/>
          <w:kern w:val="0"/>
          <w:sz w:val="32"/>
          <w:szCs w:val="32"/>
          <w:lang w:val="en-US" w:eastAsia="zh-CN"/>
        </w:rPr>
        <w:t>部门</w:t>
      </w:r>
      <w:r>
        <w:rPr>
          <w:rFonts w:hint="eastAsia" w:ascii="TimesNewRoman" w:hAnsi="TimesNewRoman" w:eastAsia="仿宋_GB2312" w:cs="TimesNewRoman"/>
          <w:kern w:val="0"/>
          <w:sz w:val="32"/>
          <w:szCs w:val="32"/>
        </w:rPr>
        <w:t>无政府性基金预算拨款收入；财政专户管理资金收入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%，原因主要是本</w:t>
      </w:r>
      <w:r>
        <w:rPr>
          <w:rFonts w:hint="eastAsia" w:ascii="TimesNewRoman" w:hAnsi="TimesNewRoman" w:eastAsia="仿宋_GB2312" w:cs="TimesNewRoman"/>
          <w:kern w:val="0"/>
          <w:sz w:val="32"/>
          <w:szCs w:val="32"/>
          <w:lang w:val="en-US" w:eastAsia="zh-CN"/>
        </w:rPr>
        <w:t>部门</w:t>
      </w:r>
      <w:r>
        <w:rPr>
          <w:rFonts w:hint="eastAsia" w:ascii="TimesNewRoman" w:hAnsi="TimesNewRoman" w:eastAsia="仿宋_GB2312" w:cs="TimesNewRoman"/>
          <w:kern w:val="0"/>
          <w:sz w:val="32"/>
          <w:szCs w:val="32"/>
        </w:rPr>
        <w:t>无财政专户管理资金收入。</w:t>
      </w:r>
    </w:p>
    <w:p w14:paraId="3319B6F9">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05A9FDA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淮北市工业和信息化局</w:t>
      </w:r>
      <w:r>
        <w:rPr>
          <w:rFonts w:hint="eastAsia" w:ascii="TimesNewRoman" w:hAnsi="TimesNewRoman" w:eastAsia="仿宋_GB2312" w:cs="TimesNewRoman"/>
          <w:kern w:val="0"/>
          <w:sz w:val="32"/>
          <w:szCs w:val="32"/>
        </w:rPr>
        <w:t>2025年支出预算9</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524.03万元，比2024年预算减少40.3</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万元，下降0.42%，原因主要是</w:t>
      </w:r>
      <w:r>
        <w:rPr>
          <w:rFonts w:hint="eastAsia" w:ascii="TimesNewRoman" w:hAnsi="TimesNewRoman" w:eastAsia="仿宋_GB2312" w:cs="TimesNewRoman"/>
          <w:kern w:val="0"/>
          <w:sz w:val="32"/>
          <w:szCs w:val="32"/>
          <w:lang w:val="en-US" w:eastAsia="zh-CN"/>
        </w:rPr>
        <w:t>人员变动，压缩经费，减少了项目支出工业经济发展第三方项目服务费、中小企业发展促进中心专项经费</w:t>
      </w:r>
      <w:r>
        <w:rPr>
          <w:rFonts w:hint="eastAsia" w:ascii="TimesNewRoman" w:hAnsi="TimesNewRoman" w:eastAsia="仿宋_GB2312" w:cs="TimesNewRoman"/>
          <w:kern w:val="0"/>
          <w:sz w:val="32"/>
          <w:szCs w:val="32"/>
        </w:rPr>
        <w:t>。其中，基本支出1</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693.4</w:t>
      </w: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万元，占17.78%，主要用于保障机构日常运转、完成日常工作任务；项目支出7</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830.5</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万元，占82.2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%，主要用于办公大楼劳务经费</w:t>
      </w:r>
      <w:r>
        <w:rPr>
          <w:rFonts w:hint="eastAsia" w:ascii="TimesNewRoman" w:hAnsi="TimesNewRoman" w:eastAsia="仿宋_GB2312" w:cs="TimesNewRoman"/>
          <w:kern w:val="0"/>
          <w:sz w:val="32"/>
          <w:szCs w:val="32"/>
          <w:lang w:eastAsia="zh-CN"/>
        </w:rPr>
        <w:t>、工程系列初中级专业技术资格评审费、工业经济和信息化工作运行经费、世界制造业大会经费、市级食盐储备补助资金、2024年支持制造业提质扩量增效奖补资金、节能监察专项经费、</w:t>
      </w:r>
      <w:r>
        <w:rPr>
          <w:rFonts w:hint="eastAsia" w:ascii="仿宋_GB2312" w:hAnsi="仿宋" w:eastAsia="仿宋_GB2312"/>
          <w:sz w:val="32"/>
          <w:szCs w:val="32"/>
        </w:rPr>
        <w:t>办公大楼运行等工作经费、企业离休人员管理服务费、行业职能和管理服务费</w:t>
      </w:r>
      <w:r>
        <w:rPr>
          <w:rFonts w:hint="eastAsia" w:ascii="TimesNewRoman" w:hAnsi="TimesNewRoman" w:eastAsia="仿宋_GB2312" w:cs="TimesNewRoman"/>
          <w:kern w:val="0"/>
          <w:sz w:val="32"/>
          <w:szCs w:val="32"/>
        </w:rPr>
        <w:t>。</w:t>
      </w:r>
    </w:p>
    <w:p w14:paraId="6FC8A4CB">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6B61264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淮北市工业和信息化局</w:t>
      </w:r>
      <w:r>
        <w:rPr>
          <w:rFonts w:hint="eastAsia" w:ascii="TimesNewRoman" w:hAnsi="TimesNewRoman" w:eastAsia="仿宋_GB2312" w:cs="TimesNewRoman"/>
          <w:kern w:val="0"/>
          <w:sz w:val="32"/>
          <w:szCs w:val="32"/>
        </w:rPr>
        <w:t>2025年财政拨款收支预算9</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524.03万元。收入按资金来源分为：一般公共预算拨款9</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524.03万元、政府性基金预算拨款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万元；按资金年度分为：本年财政拨款收入9</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524.03万元。支出按功能分类分为：社会保障和就业支出731.26万元，占7.6</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%；卫生健康支出72.27万元，占0.7</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%；资源勘探工业信息等支出8</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563.10</w:t>
      </w:r>
      <w:r>
        <w:rPr>
          <w:rFonts w:hint="eastAsia" w:ascii="TimesNewRoman" w:hAnsi="TimesNewRoman" w:eastAsia="仿宋_GB2312" w:cs="TimesNewRoman"/>
          <w:kern w:val="0"/>
          <w:sz w:val="32"/>
          <w:szCs w:val="32"/>
          <w:lang w:val="en-US" w:eastAsia="zh-CN"/>
        </w:rPr>
        <w:t>万元，</w:t>
      </w:r>
      <w:r>
        <w:rPr>
          <w:rFonts w:hint="eastAsia" w:ascii="TimesNewRoman" w:hAnsi="TimesNewRoman" w:eastAsia="仿宋_GB2312" w:cs="TimesNewRoman"/>
          <w:kern w:val="0"/>
          <w:sz w:val="32"/>
          <w:szCs w:val="32"/>
        </w:rPr>
        <w:t>占89.91%</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住房保障支出157.</w:t>
      </w:r>
      <w:r>
        <w:rPr>
          <w:rFonts w:hint="eastAsia" w:ascii="TimesNewRoman" w:hAnsi="TimesNewRoman" w:eastAsia="仿宋_GB2312" w:cs="TimesNewRoman"/>
          <w:kern w:val="0"/>
          <w:sz w:val="32"/>
          <w:szCs w:val="32"/>
          <w:lang w:val="en-US" w:eastAsia="zh-CN"/>
        </w:rPr>
        <w:t>40</w:t>
      </w:r>
      <w:r>
        <w:rPr>
          <w:rFonts w:hint="eastAsia" w:ascii="TimesNewRoman" w:hAnsi="TimesNewRoman" w:eastAsia="仿宋_GB2312" w:cs="TimesNewRoman"/>
          <w:kern w:val="0"/>
          <w:sz w:val="32"/>
          <w:szCs w:val="32"/>
        </w:rPr>
        <w:t>万元，占1.65%。</w:t>
      </w:r>
    </w:p>
    <w:p w14:paraId="7ADFEF4F">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53807996">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3C572D1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淮北市工业和信息化局</w:t>
      </w:r>
      <w:r>
        <w:rPr>
          <w:rFonts w:hint="eastAsia" w:ascii="TimesNewRoman" w:hAnsi="TimesNewRoman" w:eastAsia="仿宋_GB2312" w:cs="TimesNewRoman"/>
          <w:kern w:val="0"/>
          <w:sz w:val="32"/>
          <w:szCs w:val="32"/>
        </w:rPr>
        <w:t>2025年一般公共预算支出9</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524.03万元，比2024年预算减少40.3</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万元，下降0.42%，主要原因：一是</w:t>
      </w:r>
      <w:r>
        <w:rPr>
          <w:rFonts w:hint="eastAsia" w:ascii="TimesNewRoman" w:hAnsi="TimesNewRoman" w:eastAsia="仿宋_GB2312" w:cs="TimesNewRoman"/>
          <w:kern w:val="0"/>
          <w:sz w:val="32"/>
          <w:szCs w:val="32"/>
          <w:lang w:val="en-US" w:eastAsia="zh-CN"/>
        </w:rPr>
        <w:t>人员变动</w:t>
      </w:r>
      <w:r>
        <w:rPr>
          <w:rFonts w:hint="eastAsia" w:ascii="TimesNewRoman" w:hAnsi="TimesNewRoman" w:eastAsia="仿宋_GB2312" w:cs="TimesNewRoman"/>
          <w:kern w:val="0"/>
          <w:sz w:val="32"/>
          <w:szCs w:val="32"/>
        </w:rPr>
        <w:t>；二是</w:t>
      </w:r>
      <w:r>
        <w:rPr>
          <w:rFonts w:hint="eastAsia" w:ascii="TimesNewRoman" w:hAnsi="TimesNewRoman" w:eastAsia="仿宋_GB2312" w:cs="TimesNewRoman"/>
          <w:kern w:val="0"/>
          <w:sz w:val="32"/>
          <w:szCs w:val="32"/>
          <w:lang w:val="en-US" w:eastAsia="zh-CN"/>
        </w:rPr>
        <w:t>压缩经费，减少了项目支出工业经济发展第三方项目服务费、中小企业发展促进中心专项经费等</w:t>
      </w:r>
      <w:r>
        <w:rPr>
          <w:rFonts w:hint="eastAsia" w:ascii="TimesNewRoman" w:hAnsi="TimesNewRoman" w:eastAsia="仿宋_GB2312" w:cs="TimesNewRoman"/>
          <w:kern w:val="0"/>
          <w:sz w:val="32"/>
          <w:szCs w:val="32"/>
        </w:rPr>
        <w:t>。</w:t>
      </w:r>
    </w:p>
    <w:p w14:paraId="767525DF">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31765C3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社会保障和就业支出731.26万元，占7.6</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%；卫生健康支出72.27万元，占0.7</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%；资源勘探工业信息等支出8</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563.10</w:t>
      </w:r>
      <w:r>
        <w:rPr>
          <w:rFonts w:hint="eastAsia" w:ascii="TimesNewRoman" w:hAnsi="TimesNewRoman" w:eastAsia="仿宋_GB2312" w:cs="TimesNewRoman"/>
          <w:kern w:val="0"/>
          <w:sz w:val="32"/>
          <w:szCs w:val="32"/>
          <w:lang w:val="en-US" w:eastAsia="zh-CN"/>
        </w:rPr>
        <w:t>万元，</w:t>
      </w:r>
      <w:r>
        <w:rPr>
          <w:rFonts w:hint="eastAsia" w:ascii="TimesNewRoman" w:hAnsi="TimesNewRoman" w:eastAsia="仿宋_GB2312" w:cs="TimesNewRoman"/>
          <w:kern w:val="0"/>
          <w:sz w:val="32"/>
          <w:szCs w:val="32"/>
        </w:rPr>
        <w:t>占89.91%</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住房保障支出157.</w:t>
      </w:r>
      <w:r>
        <w:rPr>
          <w:rFonts w:hint="eastAsia" w:ascii="TimesNewRoman" w:hAnsi="TimesNewRoman" w:eastAsia="仿宋_GB2312" w:cs="TimesNewRoman"/>
          <w:kern w:val="0"/>
          <w:sz w:val="32"/>
          <w:szCs w:val="32"/>
          <w:lang w:val="en-US" w:eastAsia="zh-CN"/>
        </w:rPr>
        <w:t>40</w:t>
      </w:r>
      <w:r>
        <w:rPr>
          <w:rFonts w:hint="eastAsia" w:ascii="TimesNewRoman" w:hAnsi="TimesNewRoman" w:eastAsia="仿宋_GB2312" w:cs="TimesNewRoman"/>
          <w:kern w:val="0"/>
          <w:sz w:val="32"/>
          <w:szCs w:val="32"/>
        </w:rPr>
        <w:t>万元，占1.65%。</w:t>
      </w:r>
    </w:p>
    <w:p w14:paraId="420C01E0">
      <w:pPr>
        <w:pStyle w:val="5"/>
        <w:adjustRightInd w:val="0"/>
        <w:snapToGrid w:val="0"/>
        <w:spacing w:line="560" w:lineRule="exact"/>
        <w:ind w:firstLine="630" w:firstLineChars="196"/>
        <w:rPr>
          <w:rFonts w:ascii="TimesNewRoman" w:hAnsi="TimesNewRoman" w:eastAsia="楷体_GB2312" w:cs="TimesNewRoman"/>
          <w:b/>
          <w:sz w:val="32"/>
          <w:szCs w:val="32"/>
          <w:highlight w:val="none"/>
        </w:rPr>
      </w:pPr>
      <w:r>
        <w:rPr>
          <w:rFonts w:hint="eastAsia" w:ascii="TimesNewRoman" w:hAnsi="TimesNewRoman" w:eastAsia="楷体_GB2312" w:cs="TimesNewRoman"/>
          <w:b/>
          <w:sz w:val="32"/>
          <w:szCs w:val="32"/>
          <w:highlight w:val="none"/>
        </w:rPr>
        <w:t>（三）一般公共预算支出具体使用情况。</w:t>
      </w:r>
    </w:p>
    <w:p w14:paraId="4BBBF14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、社会保障和就业支出（类）行政事业单位养老支出（款）行政单位离退休（项）2025年预算532.66万元，比2024年预算减少30.3</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万元，下降5.</w:t>
      </w:r>
      <w:r>
        <w:rPr>
          <w:rFonts w:hint="eastAsia" w:ascii="TimesNewRoman" w:hAnsi="TimesNewRoman" w:eastAsia="仿宋_GB2312" w:cs="TimesNewRoman"/>
          <w:kern w:val="0"/>
          <w:sz w:val="32"/>
          <w:szCs w:val="32"/>
          <w:lang w:val="en-US" w:eastAsia="zh-CN"/>
        </w:rPr>
        <w:t>39</w:t>
      </w:r>
      <w:r>
        <w:rPr>
          <w:rFonts w:hint="eastAsia" w:ascii="TimesNewRoman" w:hAnsi="TimesNewRoman" w:eastAsia="仿宋_GB2312" w:cs="TimesNewRoman"/>
          <w:kern w:val="0"/>
          <w:sz w:val="32"/>
          <w:szCs w:val="32"/>
        </w:rPr>
        <w:t>%，原因主要是人员变动，基数调整。</w:t>
      </w:r>
    </w:p>
    <w:p w14:paraId="4EC93EC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、社会保障和就业支出（类）行政事业单位养老支出（款）机关事业单位基本养老保险缴费支出（项）2025年预算130.4</w:t>
      </w: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万元，比2024年预算增加6.18万元，增长</w:t>
      </w:r>
      <w:r>
        <w:rPr>
          <w:rFonts w:hint="eastAsia" w:ascii="TimesNewRoman" w:hAnsi="TimesNewRoman" w:eastAsia="仿宋_GB2312" w:cs="TimesNewRoman"/>
          <w:kern w:val="0"/>
          <w:sz w:val="32"/>
          <w:szCs w:val="32"/>
          <w:lang w:val="en-US" w:eastAsia="zh-CN"/>
        </w:rPr>
        <w:t>4.97</w:t>
      </w:r>
      <w:r>
        <w:rPr>
          <w:rFonts w:hint="eastAsia" w:ascii="TimesNewRoman" w:hAnsi="TimesNewRoman" w:eastAsia="仿宋_GB2312" w:cs="TimesNewRoman"/>
          <w:kern w:val="0"/>
          <w:sz w:val="32"/>
          <w:szCs w:val="32"/>
        </w:rPr>
        <w:t>%，原因主要是人员变动，基数调整。</w:t>
      </w:r>
    </w:p>
    <w:p w14:paraId="2B81187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、社会保障和就业支出（类）行政事业单位养老支出（款）机关事业单位职业年金缴费支出（项）2025年预算10.33万元，比2024年预算增加0.2</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万元，增长2.78%，原因主要是人员变动。</w:t>
      </w:r>
    </w:p>
    <w:p w14:paraId="4447E36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、社会保障和就业支出（类）其他社会保障和就业支出（款）其他社会保障和就业支出（项）2025年预算57.78万元，比2024年预算</w:t>
      </w:r>
      <w:r>
        <w:rPr>
          <w:rFonts w:hint="eastAsia" w:ascii="TimesNewRoman" w:hAnsi="TimesNewRoman" w:eastAsia="仿宋_GB2312" w:cs="TimesNewRoman"/>
          <w:kern w:val="0"/>
          <w:sz w:val="32"/>
          <w:szCs w:val="32"/>
          <w:lang w:val="en-US" w:eastAsia="zh-CN"/>
        </w:rPr>
        <w:t>减少3.36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下降5.92</w:t>
      </w:r>
      <w:r>
        <w:rPr>
          <w:rFonts w:hint="eastAsia" w:ascii="TimesNewRoman" w:hAnsi="TimesNewRoman" w:eastAsia="仿宋_GB2312" w:cs="TimesNewRoman"/>
          <w:kern w:val="0"/>
          <w:sz w:val="32"/>
          <w:szCs w:val="32"/>
        </w:rPr>
        <w:t>%，原因主要是人员变动，基数调整。</w:t>
      </w:r>
    </w:p>
    <w:p w14:paraId="7335215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、卫生健康支出（类）行政事业单位医疗（款）行政单位医疗（项）2025年预算30.57万元，比2024年预算减少</w:t>
      </w:r>
      <w:r>
        <w:rPr>
          <w:rFonts w:hint="eastAsia" w:ascii="TimesNewRoman" w:hAnsi="TimesNewRoman" w:eastAsia="仿宋_GB2312" w:cs="TimesNewRoman"/>
          <w:kern w:val="0"/>
          <w:sz w:val="32"/>
          <w:szCs w:val="32"/>
          <w:lang w:val="en-US" w:eastAsia="zh-CN"/>
        </w:rPr>
        <w:t>3.43</w:t>
      </w:r>
      <w:r>
        <w:rPr>
          <w:rFonts w:hint="eastAsia" w:ascii="TimesNewRoman" w:hAnsi="TimesNewRoman" w:eastAsia="仿宋_GB2312" w:cs="TimesNewRoman"/>
          <w:kern w:val="0"/>
          <w:sz w:val="32"/>
          <w:szCs w:val="32"/>
        </w:rPr>
        <w:t>万元，下降10.09%，原因主要是人员变动，基数调整。</w:t>
      </w:r>
    </w:p>
    <w:p w14:paraId="76668D7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、卫生健康支出（类）行政事业单位医疗（款）公务员医疗补助（项）2025年预算41.70万元，比2024年预算增加</w:t>
      </w:r>
      <w:r>
        <w:rPr>
          <w:rFonts w:hint="eastAsia" w:ascii="TimesNewRoman" w:hAnsi="TimesNewRoman" w:eastAsia="仿宋_GB2312" w:cs="TimesNewRoman"/>
          <w:kern w:val="0"/>
          <w:sz w:val="32"/>
          <w:szCs w:val="32"/>
          <w:lang w:val="en-US" w:eastAsia="zh-CN"/>
        </w:rPr>
        <w:t>1.30</w:t>
      </w:r>
      <w:r>
        <w:rPr>
          <w:rFonts w:hint="eastAsia" w:ascii="TimesNewRoman" w:hAnsi="TimesNewRoman" w:eastAsia="仿宋_GB2312" w:cs="TimesNewRoman"/>
          <w:kern w:val="0"/>
          <w:sz w:val="32"/>
          <w:szCs w:val="32"/>
        </w:rPr>
        <w:t>万元，增长3.21%，原因主要是人员变动，基数调整。</w:t>
      </w:r>
    </w:p>
    <w:p w14:paraId="226FE2C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、资源勘探工业信息等支出（类）资源勘探开发（款）行政运行（项）2025年预算4.2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万元，比2024年预算减少50.23万元，下降92.25%，原因主要是</w:t>
      </w:r>
      <w:r>
        <w:rPr>
          <w:rFonts w:hint="eastAsia" w:ascii="TimesNewRoman" w:hAnsi="TimesNewRoman" w:eastAsia="仿宋_GB2312" w:cs="TimesNewRoman"/>
          <w:kern w:val="0"/>
          <w:sz w:val="32"/>
          <w:szCs w:val="32"/>
          <w:lang w:val="en-US" w:eastAsia="zh-CN"/>
        </w:rPr>
        <w:t>功能科目调整，2025年调整到</w:t>
      </w:r>
      <w:r>
        <w:rPr>
          <w:rFonts w:hint="eastAsia" w:ascii="TimesNewRoman" w:hAnsi="TimesNewRoman" w:eastAsia="仿宋_GB2312" w:cs="TimesNewRoman"/>
          <w:kern w:val="0"/>
          <w:sz w:val="32"/>
          <w:szCs w:val="32"/>
        </w:rPr>
        <w:t>资源勘探工业信息等支出（类）工业和信息产业（款）行政运行（项）</w:t>
      </w:r>
      <w:r>
        <w:rPr>
          <w:rFonts w:hint="eastAsia" w:ascii="TimesNewRoman" w:hAnsi="TimesNewRoman" w:eastAsia="仿宋_GB2312" w:cs="TimesNewRoman"/>
          <w:kern w:val="0"/>
          <w:sz w:val="32"/>
          <w:szCs w:val="32"/>
          <w:lang w:val="en-US" w:eastAsia="zh-CN"/>
        </w:rPr>
        <w:t>中</w:t>
      </w:r>
      <w:r>
        <w:rPr>
          <w:rFonts w:hint="eastAsia" w:ascii="TimesNewRoman" w:hAnsi="TimesNewRoman" w:eastAsia="仿宋_GB2312" w:cs="TimesNewRoman"/>
          <w:kern w:val="0"/>
          <w:sz w:val="32"/>
          <w:szCs w:val="32"/>
        </w:rPr>
        <w:t>。</w:t>
      </w:r>
    </w:p>
    <w:p w14:paraId="1E4DACB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、资源勘探工业信息等支出（类）工业和信息产业（款）行政运行（项）2025年预算721.12万元，比2024年预算增加222.8</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44.71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功能科目调整</w:t>
      </w:r>
      <w:r>
        <w:rPr>
          <w:rFonts w:hint="eastAsia" w:ascii="TimesNewRoman" w:hAnsi="TimesNewRoman" w:eastAsia="仿宋_GB2312" w:cs="TimesNewRoman"/>
          <w:kern w:val="0"/>
          <w:sz w:val="32"/>
          <w:szCs w:val="32"/>
        </w:rPr>
        <w:t>。</w:t>
      </w:r>
    </w:p>
    <w:p w14:paraId="663170C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、资源勘探工业信息等支出（类）工业和信息产业（款）一般行政管理事务（项）2025年预算7</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830.5</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万元，比2024年预算减少5</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1万元，下降0.6</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压缩经费，减少了项目支出工业经济发展第三方项目服务费、中小企业发展促进中心专项经费等</w:t>
      </w:r>
      <w:r>
        <w:rPr>
          <w:rFonts w:hint="eastAsia" w:ascii="TimesNewRoman" w:hAnsi="TimesNewRoman" w:eastAsia="仿宋_GB2312" w:cs="TimesNewRoman"/>
          <w:kern w:val="0"/>
          <w:sz w:val="32"/>
          <w:szCs w:val="32"/>
        </w:rPr>
        <w:t>。</w:t>
      </w:r>
    </w:p>
    <w:p w14:paraId="60415B8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资源勘探工业信息等支出（类）工业和信息产业（款）事业运行（项）2025年预算7.2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万元，比2024年预算增加7.2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100.00</w:t>
      </w:r>
      <w:r>
        <w:rPr>
          <w:rFonts w:hint="eastAsia" w:ascii="TimesNewRoman" w:hAnsi="TimesNewRoman" w:eastAsia="仿宋_GB2312" w:cs="TimesNewRoman"/>
          <w:kern w:val="0"/>
          <w:sz w:val="32"/>
          <w:szCs w:val="32"/>
        </w:rPr>
        <w:t>%，原因主要是功能科目调整。</w:t>
      </w:r>
    </w:p>
    <w:p w14:paraId="373FCC2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、住房保障支出（类）住房改革支出（款）住房公积金（项）2025年预算94.4</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万元，比2024年预算增加3.70万元，增长4.0</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%，原因主要是人员变动。</w:t>
      </w:r>
    </w:p>
    <w:p w14:paraId="35B6899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、住房保障支出（类）住房改革支出（款）提租补贴（项）2025年预算23.61万元，比2024年预算增加23.61万元，增长</w:t>
      </w:r>
      <w:r>
        <w:rPr>
          <w:rFonts w:hint="eastAsia" w:ascii="TimesNewRoman" w:hAnsi="TimesNewRoman" w:eastAsia="仿宋_GB2312" w:cs="TimesNewRoman"/>
          <w:kern w:val="0"/>
          <w:sz w:val="32"/>
          <w:szCs w:val="32"/>
          <w:lang w:val="en-US" w:eastAsia="zh-CN"/>
        </w:rPr>
        <w:t>100.00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功能科目调整</w:t>
      </w:r>
      <w:r>
        <w:rPr>
          <w:rFonts w:hint="eastAsia" w:ascii="TimesNewRoman" w:hAnsi="TimesNewRoman" w:eastAsia="仿宋_GB2312" w:cs="TimesNewRoman"/>
          <w:kern w:val="0"/>
          <w:sz w:val="32"/>
          <w:szCs w:val="32"/>
        </w:rPr>
        <w:t>。</w:t>
      </w:r>
    </w:p>
    <w:p w14:paraId="17532AD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13</w:t>
      </w:r>
      <w:r>
        <w:rPr>
          <w:rFonts w:hint="eastAsia" w:ascii="TimesNewRoman" w:hAnsi="TimesNewRoman" w:eastAsia="仿宋_GB2312" w:cs="TimesNewRoman"/>
          <w:kern w:val="0"/>
          <w:sz w:val="32"/>
          <w:szCs w:val="32"/>
        </w:rPr>
        <w:t>、住房保障支出（类）住房改革支出（款）购房补贴（项）2025年预算39.3</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万元，比2024年预算增加1.54万元，增长4.0</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%，原因主要是人员变动。</w:t>
      </w:r>
    </w:p>
    <w:p w14:paraId="39C79F12">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03B5B4A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淮北市工业和信息化局</w:t>
      </w:r>
      <w:r>
        <w:rPr>
          <w:rFonts w:hint="eastAsia" w:ascii="TimesNewRoman" w:hAnsi="TimesNewRoman" w:eastAsia="仿宋_GB2312" w:cs="TimesNewRoman"/>
          <w:kern w:val="0"/>
          <w:sz w:val="32"/>
          <w:szCs w:val="32"/>
        </w:rPr>
        <w:t>2025年一般公共预算基本支出1</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693.4</w:t>
      </w: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万元，其中，人员经费1</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579.8</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万元，公用经费113.6</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万元。</w:t>
      </w:r>
    </w:p>
    <w:p w14:paraId="652E96C9">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（一）人员经费1</w:t>
      </w:r>
      <w:r>
        <w:rPr>
          <w:rFonts w:hint="eastAsia" w:ascii="TimesNewRoman" w:hAnsi="TimesNewRoman" w:eastAsia="仿宋_GB2312" w:cs="TimesNewRoman"/>
          <w:b/>
          <w:kern w:val="0"/>
          <w:sz w:val="32"/>
          <w:szCs w:val="32"/>
          <w:lang w:val="en-US" w:eastAsia="zh-CN"/>
        </w:rPr>
        <w:t>,</w:t>
      </w:r>
      <w:r>
        <w:rPr>
          <w:rFonts w:hint="eastAsia" w:ascii="TimesNewRoman" w:hAnsi="TimesNewRoman" w:eastAsia="仿宋_GB2312" w:cs="TimesNewRoman"/>
          <w:b/>
          <w:kern w:val="0"/>
          <w:sz w:val="32"/>
          <w:szCs w:val="32"/>
        </w:rPr>
        <w:t>579.8</w:t>
      </w:r>
      <w:r>
        <w:rPr>
          <w:rFonts w:hint="eastAsia" w:ascii="TimesNewRoman" w:hAnsi="TimesNewRoman" w:eastAsia="仿宋_GB2312" w:cs="TimesNewRoman"/>
          <w:b/>
          <w:kern w:val="0"/>
          <w:sz w:val="32"/>
          <w:szCs w:val="32"/>
          <w:lang w:val="en-US" w:eastAsia="zh-CN"/>
        </w:rPr>
        <w:t>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主要包括:基本工资、津贴补贴、奖金、绩效工资、机关事业单位基本养老保险费、职业年金缴费、职工基本医疗保险缴费、公务员医疗补助缴费、其他社会保障缴费、住房公积金、</w:t>
      </w:r>
      <w:r>
        <w:rPr>
          <w:rFonts w:hint="eastAsia" w:ascii="TimesNewRoman" w:hAnsi="TimesNewRoman" w:eastAsia="仿宋_GB2312" w:cs="TimesNewRoman"/>
          <w:kern w:val="0"/>
          <w:sz w:val="32"/>
          <w:szCs w:val="32"/>
          <w:lang w:val="en-US" w:eastAsia="zh-CN"/>
        </w:rPr>
        <w:t>办公费、</w:t>
      </w:r>
      <w:r>
        <w:rPr>
          <w:rFonts w:hint="eastAsia" w:ascii="TimesNewRoman" w:hAnsi="TimesNewRoman" w:eastAsia="仿宋_GB2312" w:cs="TimesNewRoman"/>
          <w:kern w:val="0"/>
          <w:sz w:val="32"/>
          <w:szCs w:val="32"/>
        </w:rPr>
        <w:t>工会经费、福利费、其他商品和服务支出</w:t>
      </w:r>
      <w:r>
        <w:rPr>
          <w:rFonts w:hint="eastAsia" w:ascii="TimesNewRoman" w:hAnsi="TimesNewRoman" w:eastAsia="仿宋_GB2312" w:cs="TimesNewRoman"/>
          <w:kern w:val="0"/>
          <w:sz w:val="32"/>
          <w:szCs w:val="32"/>
          <w:lang w:eastAsia="zh-CN"/>
        </w:rPr>
        <w:t>、离休费、</w:t>
      </w:r>
      <w:r>
        <w:rPr>
          <w:rFonts w:hint="eastAsia" w:ascii="TimesNewRoman" w:hAnsi="TimesNewRoman" w:eastAsia="仿宋_GB2312" w:cs="TimesNewRoman"/>
          <w:kern w:val="0"/>
          <w:sz w:val="32"/>
          <w:szCs w:val="32"/>
        </w:rPr>
        <w:t>退休费、生活补助、医疗费补助、奖励金</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对其他个人和家庭的补助支出。</w:t>
      </w:r>
    </w:p>
    <w:p w14:paraId="22989941">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（二）公用经费113.6</w:t>
      </w:r>
      <w:r>
        <w:rPr>
          <w:rFonts w:hint="eastAsia" w:ascii="TimesNewRoman" w:hAnsi="TimesNewRoman" w:eastAsia="仿宋_GB2312" w:cs="TimesNewRoman"/>
          <w:b/>
          <w:kern w:val="0"/>
          <w:sz w:val="32"/>
          <w:szCs w:val="32"/>
          <w:lang w:val="en-US" w:eastAsia="zh-CN"/>
        </w:rPr>
        <w:t>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主要包括：办公费、差旅费、维修（护）费、公务接待费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公务用车运行维护费、其他交通费用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其他商品和服务支出。</w:t>
      </w:r>
    </w:p>
    <w:p w14:paraId="25A109DF">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524470A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淮北市工业和信息化局</w:t>
      </w:r>
      <w:r>
        <w:rPr>
          <w:rFonts w:hint="eastAsia" w:ascii="TimesNewRoman" w:hAnsi="TimesNewRoman" w:eastAsia="仿宋_GB2312" w:cs="TimesNewRoman"/>
          <w:kern w:val="0"/>
          <w:sz w:val="32"/>
          <w:szCs w:val="32"/>
        </w:rPr>
        <w:t>2025年没有政府性基金预算拨款收入，也没有使用政府性基金预算拨款安排的支出。</w:t>
      </w:r>
    </w:p>
    <w:p w14:paraId="7E97A1F5">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1D614BB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淮北市工业和信息化局</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637700C3">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03B4D3D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淮北市工业和信息化局</w:t>
      </w:r>
      <w:r>
        <w:rPr>
          <w:rFonts w:hint="eastAsia" w:ascii="TimesNewRoman" w:hAnsi="TimesNewRoman" w:eastAsia="仿宋_GB2312" w:cs="TimesNewRoman"/>
          <w:kern w:val="0"/>
          <w:sz w:val="32"/>
          <w:szCs w:val="32"/>
        </w:rPr>
        <w:t>2025年预算共安排项目支出7</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830.5</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万元，比2024年预算减少51.71万元，下降</w:t>
      </w:r>
      <w:r>
        <w:rPr>
          <w:rFonts w:hint="eastAsia" w:ascii="TimesNewRoman" w:hAnsi="TimesNewRoman" w:eastAsia="仿宋_GB2312" w:cs="TimesNewRoman"/>
          <w:kern w:val="0"/>
          <w:sz w:val="32"/>
          <w:szCs w:val="32"/>
          <w:lang w:val="en-US" w:eastAsia="zh-CN"/>
        </w:rPr>
        <w:t>0.66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压缩经费，减少了项目支出工业经济发展第三方项目服务费、中小企业发展促进中心专项经费等</w:t>
      </w:r>
      <w:r>
        <w:rPr>
          <w:rFonts w:hint="eastAsia" w:ascii="TimesNewRoman" w:hAnsi="TimesNewRoman" w:eastAsia="仿宋_GB2312" w:cs="TimesNewRoman"/>
          <w:kern w:val="0"/>
          <w:sz w:val="32"/>
          <w:szCs w:val="32"/>
        </w:rPr>
        <w:t>。主要包括：本年财政拨款安排7</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830.5</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万元（其中，一般公共预算拨款安排7</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830.5</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4F500B88">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1CAA682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淮北市工业和信息化局</w:t>
      </w:r>
      <w:r>
        <w:rPr>
          <w:rFonts w:hint="eastAsia" w:ascii="TimesNewRoman" w:hAnsi="TimesNewRoman" w:eastAsia="仿宋_GB2312" w:cs="TimesNewRoman"/>
          <w:kern w:val="0"/>
          <w:sz w:val="32"/>
          <w:szCs w:val="32"/>
        </w:rPr>
        <w:t>2025年没有使用一般公共预算拨款、政府性基金预算拨款、国有资本经营预算拨款、财政专户管理资金和单位资金安排的政府采购支出。</w:t>
      </w:r>
    </w:p>
    <w:p w14:paraId="3EBA037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03135CA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淮北市工业和信息化局</w:t>
      </w:r>
      <w:r>
        <w:rPr>
          <w:rFonts w:hint="eastAsia" w:ascii="TimesNewRoman" w:hAnsi="TimesNewRoman" w:eastAsia="仿宋_GB2312" w:cs="TimesNewRoman"/>
          <w:kern w:val="0"/>
          <w:sz w:val="32"/>
          <w:szCs w:val="32"/>
        </w:rPr>
        <w:t>2025年没有安排政府购买服务支出。</w:t>
      </w:r>
    </w:p>
    <w:p w14:paraId="3B795081">
      <w:pPr>
        <w:pStyle w:val="5"/>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w:t>
      </w:r>
      <w:bookmarkStart w:id="0" w:name="_GoBack"/>
      <w:bookmarkEnd w:id="0"/>
      <w:r>
        <w:rPr>
          <w:rFonts w:ascii="TimesNewRoman" w:hAnsi="TimesNewRoman" w:eastAsia="黑体" w:cs="TimesNewRoman"/>
          <w:sz w:val="32"/>
          <w:szCs w:val="32"/>
        </w:rPr>
        <w:t>用资产配置支出表的说明</w:t>
      </w:r>
    </w:p>
    <w:p w14:paraId="32E39EA9">
      <w:pPr>
        <w:pStyle w:val="5"/>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kern w:val="0"/>
          <w:sz w:val="32"/>
          <w:szCs w:val="32"/>
          <w:lang w:eastAsia="zh-CN"/>
        </w:rPr>
        <w:t>淮北市工业和信息化局</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14:paraId="02BB2EF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w:t>
      </w:r>
      <w:r>
        <w:rPr>
          <w:rFonts w:hint="eastAsia" w:ascii="TimesNewRoman" w:hAnsi="TimesNewRoman" w:eastAsia="黑体" w:cs="TimesNewRoman"/>
          <w:bCs/>
          <w:sz w:val="32"/>
          <w:szCs w:val="32"/>
          <w:lang w:val="en-US" w:eastAsia="zh-CN"/>
        </w:rPr>
        <w:t>三</w:t>
      </w:r>
      <w:r>
        <w:rPr>
          <w:rFonts w:hint="eastAsia" w:ascii="TimesNewRoman" w:hAnsi="TimesNewRoman" w:eastAsia="黑体" w:cs="TimesNewRoman"/>
          <w:bCs/>
          <w:sz w:val="32"/>
          <w:szCs w:val="32"/>
        </w:rPr>
        <w:t>、其他重要事项情况说明</w:t>
      </w:r>
    </w:p>
    <w:p w14:paraId="54BD826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5E7F064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1、“办公大楼劳务经费”项目。</w:t>
      </w:r>
    </w:p>
    <w:p w14:paraId="427045F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（1）项目概述。办公大楼保洁劳务费。</w:t>
      </w:r>
    </w:p>
    <w:p w14:paraId="4B88B06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按照市政府统一安排,我委于2017年12搬至市招商大厦办公，办公用房为6层、10-11层（其中6层8间），水电及保洁及网络使用费均由我委自付。招商大厦每层楼保洁劳务费为2500元，月需保洁劳务费为3500元/月，全年计4.20万元。</w:t>
      </w:r>
    </w:p>
    <w:p w14:paraId="317941E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（3）实施主体。淮北市工业和信息化局（本级）</w:t>
      </w:r>
    </w:p>
    <w:p w14:paraId="676B33E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（4）起止时间。2025年1-12月</w:t>
      </w:r>
    </w:p>
    <w:p w14:paraId="59C4EFF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招</w:t>
      </w:r>
      <w:r>
        <w:rPr>
          <w:rFonts w:hint="eastAsia" w:ascii="TimesNewRoman" w:hAnsi="TimesNewRoman" w:eastAsia="仿宋_GB2312" w:cs="TimesNewRoman"/>
          <w:kern w:val="0"/>
          <w:sz w:val="32"/>
          <w:szCs w:val="32"/>
        </w:rPr>
        <w:t>商大厦办公10-11层。招商大厦每层楼保洁劳务费为2500元，月需保洁劳务费为3500元/月，全年计4.20万元。</w:t>
      </w:r>
    </w:p>
    <w:p w14:paraId="5906A45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（6）年度预算安排。4.20万元</w:t>
      </w:r>
    </w:p>
    <w:p w14:paraId="7B016CE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（7）绩效目标。详见附件1-3</w:t>
      </w:r>
    </w:p>
    <w:p w14:paraId="16CBBD8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2、“工程系列初中级专业技术资格评审费”项目。</w:t>
      </w:r>
    </w:p>
    <w:p w14:paraId="50390BE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（1）项目概述。强化政策引导和业务指导，为明确教育更多更为优质的高端人才，按照事实清楚定性准确，处理恰当手续完备的要求，逐级认真调查核实，提出明确意见。确保职称评审工作顺利进行。</w:t>
      </w:r>
    </w:p>
    <w:p w14:paraId="2B51579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（2）立项依据。淮北市人力资源和社会保障局关于做好2019年度全市职称评审工作的通知淮人社秘【2019 】244号。</w:t>
      </w:r>
    </w:p>
    <w:p w14:paraId="048C5E4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（3）实施主体。淮北市工业和信息化局（本级）</w:t>
      </w:r>
    </w:p>
    <w:p w14:paraId="4D4CA9A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（4）起止时间。2025年1-12月</w:t>
      </w:r>
    </w:p>
    <w:p w14:paraId="5AB6677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（5）项目内容。强化政策引导和业务指导，为明确教育更多更为优质的高端人才，按照事实清楚定性准确，处理恰当手续完备的要求，逐级认真调查核实，提出明确意见。确保职称评审工作顺利进行。</w:t>
      </w:r>
    </w:p>
    <w:p w14:paraId="6E4A84F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（6）年度预算安排。8.00万元</w:t>
      </w:r>
    </w:p>
    <w:p w14:paraId="6A772C9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（7）绩效目标。详见附件1-3</w:t>
      </w:r>
    </w:p>
    <w:p w14:paraId="380CA23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3、“工业经济和信息化工作运行经费”项目。</w:t>
      </w:r>
    </w:p>
    <w:p w14:paraId="0E7762A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贯彻执行国家有关经济信息化的法律法规和规章。汽车相关地方性法规规章草案拟订并组织实施经济和信息化的发展规划，推进产业结构战略性调整和优化升级，推进信息化和工业化融合发展。制定并组织实施工业信息化相关行业的规定计划和产业政策提出优化产业布局结构的政策建议一定行业技术规范与行业标准并组织实施指导行业质量管理和安全生产管理工作。检测研判经济运行态势，整理分析和发布经济信息，提出相关政策建议，协调经济运行中的重大问题。承担办理工作。</w:t>
      </w:r>
    </w:p>
    <w:p w14:paraId="2B3CEE3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（2）立项依据。部门职能需要，根据中共安徽省委办公厅，安徽省人民政府办公厅关于印发淮北市机构改革方案的通知。2019、2号。和中共淮北市委淮北市人民政府关于市及机构改革的实施意见，淮发2019.2号。</w:t>
      </w:r>
    </w:p>
    <w:p w14:paraId="3941ADA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（3）实施主体。淮北市工业和信息化局（本级）</w:t>
      </w:r>
    </w:p>
    <w:p w14:paraId="7D5B1AA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（4）起止时间。2025年1-12月</w:t>
      </w:r>
    </w:p>
    <w:p w14:paraId="461A758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贯彻执行国家有关经济信息化的法律法规和规章。汽车相关地方性法规规章草案拟订并组织实施经济和信息化的发展规划，推进产业结构战略性调整和优化升级，推进信息化和工业化融合发展。制定并组织实施工业信息化相关行业的规定计划和产业政策提出优化产业布局结构的政策建议一定行业技术规范与行业标准并组织实施指导行业质量管理和安全生产管理工作。检测研判经济运行态势，整理分析和发布经济信息，提出相关政策建议，协调经济运行中的重大问题。承担办理工作。</w:t>
      </w:r>
    </w:p>
    <w:p w14:paraId="168C19B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（6）年度预算安排。82.12万元</w:t>
      </w:r>
    </w:p>
    <w:p w14:paraId="3C42C19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（7）绩效目标。详见附件1-3</w:t>
      </w:r>
    </w:p>
    <w:p w14:paraId="0F5A512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4、“世界制造业大会经费”项目。</w:t>
      </w:r>
    </w:p>
    <w:p w14:paraId="6CB1FBB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（1）项目概述。安徽省政府自2018年开始，连续成功举办四届世界制造业大会，成为安徽省展示制造业发展成就的一张重要名片。各市需积极参与项目签约、客商邀请、展览展示、平行论坛等重要活动。</w:t>
      </w:r>
    </w:p>
    <w:p w14:paraId="05A5050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（2）立项依据。世界制造业大会执委会办公室关于报送世界制造业大会市级牵头单位相关信息的通知（世制执办字〔2022〕1号）。</w:t>
      </w:r>
    </w:p>
    <w:p w14:paraId="52447E0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（3）实施主体。淮北市工业和信息化局（本级）</w:t>
      </w:r>
    </w:p>
    <w:p w14:paraId="655D97D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（4）起止时间。2025年1-12月</w:t>
      </w:r>
    </w:p>
    <w:p w14:paraId="44BDFE4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（5）项目内容。。安徽省政府自2018年开始，连续成功举办四届世界制造业大会，成为安徽省展示制造业发展成就的一张重要名片。各市需积极参与项目签约、客商邀请、展览展示、平行论坛等重要活动。</w:t>
      </w:r>
    </w:p>
    <w:p w14:paraId="4BE3241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（6）年度预算安排。15.00万元</w:t>
      </w:r>
    </w:p>
    <w:p w14:paraId="2911BAC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（7）绩效目标。详见附件1-3</w:t>
      </w:r>
    </w:p>
    <w:p w14:paraId="68C76B4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5、“市级食盐储备补助资金”项目。</w:t>
      </w:r>
    </w:p>
    <w:p w14:paraId="4587B9E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为落实国家及省关于加强应急物资储备安全管理工作的部署要求，构建多层级食盐储备体系，更好发挥食盐储备在调节稳定市场、应对突发事件等方面的重要作用，构建市级食盐储备库。市级食盐储备贷款贴息、管理费用补贴。</w:t>
      </w:r>
    </w:p>
    <w:p w14:paraId="1DED940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（2）立项依据。《关于进一步加强食盐储备管理工作的通知》（皖经信盐食函〔2022〕115号），《关于印发&lt;淮北市市级食盐储备管理暂行办法&gt;的通知》（淮经信消费〔2023〕39号）。</w:t>
      </w:r>
    </w:p>
    <w:p w14:paraId="301625F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（3）实施主体。淮北市工业和信息化局（本级）</w:t>
      </w:r>
    </w:p>
    <w:p w14:paraId="6ED6060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（4）起止时间。2025年1-12月</w:t>
      </w:r>
    </w:p>
    <w:p w14:paraId="5AB8CD2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（5）项目内容。对企业补助10.40万</w:t>
      </w:r>
    </w:p>
    <w:p w14:paraId="415B307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（6）年度预算安排。10.40万元</w:t>
      </w:r>
    </w:p>
    <w:p w14:paraId="592995A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（7）绩效目标。详见附件1-3</w:t>
      </w:r>
    </w:p>
    <w:p w14:paraId="1027A3F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6、“2024年支持制造业提质扩量增效奖补资金”项目。</w:t>
      </w:r>
    </w:p>
    <w:p w14:paraId="0C998D0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（1）项目概述。2024年年工业经济、互联网及民营经济发展资金。</w:t>
      </w:r>
    </w:p>
    <w:p w14:paraId="40EEA11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落实《淮北市人民政府关于印发支持工业经济高质量转型发展若干政策的通知》（淮政〔2020〕22号）、《淮北市人民政府办公室关于印发支持工业互联网发展若干政策和淮北市工业互联网创新发展行动计划的通知》（淮政办秘〔2021〕46号）、《中共淮北市委淮北市人民政府关于进一步激发民营企业创业热情成就企业家创意创新创造推进民营经济高质量发展的实施细则》（淮发〔2021〕16号）文件精神，市经信局、市财政局、市市场监督管理局联合制定了《2022年支持工业经济转型和工业互联网发展、促进民营经济发展若干政策实施细则》（淮经信督导〔2022〕27号）。</w:t>
      </w:r>
    </w:p>
    <w:p w14:paraId="18A85BE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（3）实施主体。淮北市工业和信息化局（本级）</w:t>
      </w:r>
    </w:p>
    <w:p w14:paraId="54F7E28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（4）起止时间。2025年1-12月</w:t>
      </w:r>
    </w:p>
    <w:p w14:paraId="4EE144E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（5）项目内容。一是支持四化改造，二是支持项目建设，三是支持企业做大做强，四是支持专精特新发展。</w:t>
      </w:r>
    </w:p>
    <w:p w14:paraId="427867C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（6）年度预算安排。7,600.00万元</w:t>
      </w:r>
    </w:p>
    <w:p w14:paraId="5AB633C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（7）绩效目标。详见附件1-3</w:t>
      </w:r>
    </w:p>
    <w:p w14:paraId="688B89C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7、“节能监察专项经费”项目。</w:t>
      </w:r>
    </w:p>
    <w:p w14:paraId="0F737C4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（1）项目概述。市节能监察中心人员工资、社会保险列入市政府购买服务项目支出。</w:t>
      </w:r>
    </w:p>
    <w:p w14:paraId="01D32C1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（2）立项依据。根据淮北市机构编制委员会淮编[2016]28号文件“市节能监察中心人员工资、社会保险列入市政府购买服务项目支出。</w:t>
      </w:r>
    </w:p>
    <w:p w14:paraId="313DD30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（3）实施主体。淮北市工业和信息化局（本级）</w:t>
      </w:r>
    </w:p>
    <w:p w14:paraId="4A64BC0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（4）起止时间。2025年1-12月</w:t>
      </w:r>
    </w:p>
    <w:p w14:paraId="2D0E001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p>
    <w:p w14:paraId="72F1A12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北市机构编制委员会淮编[2016]28号文件，淮北市节能监察中心编制 9人，现实有8人(其中：在编5人，退休3人),按照淮北市人力资源和社会保 障局审批工资单、社保规定等，2025年工资、社保及公务费预算如下：</w:t>
      </w:r>
    </w:p>
    <w:p w14:paraId="23E347E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一、工资总额627949元，其中：</w:t>
      </w:r>
    </w:p>
    <w:p w14:paraId="12AB582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1、基本工资(岗位10290元/月+薪级14530元/月)×12月=297840元</w:t>
      </w:r>
    </w:p>
    <w:p w14:paraId="6419453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2、政府基础绩效奖14530元/月×12月=174360元(1、2详见工资审批表)</w:t>
      </w:r>
    </w:p>
    <w:p w14:paraId="0AA5866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3、绩效工资 155749元(详见绩效工资总量计算清单)</w:t>
      </w:r>
    </w:p>
    <w:p w14:paraId="75FAA23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二、养老费、医保费202332元，其中：</w:t>
      </w:r>
    </w:p>
    <w:p w14:paraId="5140A52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1、社保费：工资总额627949×24.7%(养老16%+失业0.5%+工伤0.2%+职 业年金8%)=155103.4元</w:t>
      </w:r>
    </w:p>
    <w:p w14:paraId="3050C1A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2、医保费：工资总额627949×7.2%+大病医保14人(含退休9人)×144=47228.33元</w:t>
      </w:r>
    </w:p>
    <w:p w14:paraId="5C6509A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三、公务费等194993元，其中：</w:t>
      </w:r>
    </w:p>
    <w:p w14:paraId="3C364CF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1、车辆运行费(车辆)35000元</w:t>
      </w:r>
    </w:p>
    <w:p w14:paraId="49F6D47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2、人员综合定额5(人)×12000元=60000元</w:t>
      </w:r>
    </w:p>
    <w:p w14:paraId="1B2E14F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3、提租补贴79424×3%×12=28593元</w:t>
      </w:r>
    </w:p>
    <w:p w14:paraId="1838993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4、退休人员补贴3人5950元/月×12月=71400元</w:t>
      </w:r>
    </w:p>
    <w:p w14:paraId="4F63F55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预算总额：627949元+202332元+194993元=1025274元，约102.53万元</w:t>
      </w:r>
    </w:p>
    <w:p w14:paraId="657EF36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（6）年度预算安排。102.53万元</w:t>
      </w:r>
    </w:p>
    <w:p w14:paraId="503B24A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（7）绩效目标。详见附件1-3</w:t>
      </w:r>
    </w:p>
    <w:p w14:paraId="16C8B51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、“行业职能和管理服务费”项目。</w:t>
      </w:r>
    </w:p>
    <w:p w14:paraId="74C070A4">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（1）项目概述。机关离休干部2人，退休干部90人，企业离休人员17人，企业退休县干24人，对保障对象的慰问等管理服务工作</w:t>
      </w:r>
      <w:r>
        <w:rPr>
          <w:rFonts w:hint="eastAsia" w:ascii="TimesNewRoman" w:hAnsi="TimesNewRoman" w:eastAsia="仿宋_GB2312" w:cs="TimesNewRoman"/>
          <w:kern w:val="0"/>
          <w:sz w:val="32"/>
          <w:szCs w:val="32"/>
          <w:lang w:eastAsia="zh-CN"/>
        </w:rPr>
        <w:t>。</w:t>
      </w:r>
    </w:p>
    <w:p w14:paraId="28CA083A">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淮编【2008】2号、淮编【2011】32号</w:t>
      </w:r>
      <w:r>
        <w:rPr>
          <w:rFonts w:hint="eastAsia" w:ascii="仿宋_GB2312" w:eastAsia="仿宋_GB2312"/>
          <w:sz w:val="32"/>
          <w:szCs w:val="32"/>
          <w:lang w:eastAsia="zh-CN"/>
        </w:rPr>
        <w:t>。</w:t>
      </w:r>
    </w:p>
    <w:p w14:paraId="05EC233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（3）实施主体。淮北市企业服务中心</w:t>
      </w:r>
    </w:p>
    <w:p w14:paraId="2BA2CB3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仿宋_GB2312" w:eastAsia="仿宋_GB2312"/>
          <w:sz w:val="32"/>
          <w:szCs w:val="32"/>
        </w:rPr>
        <w:t>年</w:t>
      </w:r>
      <w:r>
        <w:rPr>
          <w:rFonts w:hint="eastAsia" w:ascii="TimesNewRoman" w:hAnsi="TimesNewRoman" w:eastAsia="仿宋_GB2312" w:cs="TimesNewRoman"/>
          <w:kern w:val="0"/>
          <w:sz w:val="32"/>
          <w:szCs w:val="32"/>
        </w:rPr>
        <w:t>1</w:t>
      </w:r>
      <w:r>
        <w:rPr>
          <w:rFonts w:hint="eastAsia" w:ascii="仿宋_GB2312" w:eastAsia="仿宋_GB2312"/>
          <w:sz w:val="32"/>
          <w:szCs w:val="32"/>
        </w:rPr>
        <w:t>-</w:t>
      </w:r>
      <w:r>
        <w:rPr>
          <w:rFonts w:hint="eastAsia" w:ascii="TimesNewRoman" w:hAnsi="TimesNewRoman" w:eastAsia="仿宋_GB2312" w:cs="TimesNewRoman"/>
          <w:kern w:val="0"/>
          <w:sz w:val="32"/>
          <w:szCs w:val="32"/>
        </w:rPr>
        <w:t>12</w:t>
      </w:r>
      <w:r>
        <w:rPr>
          <w:rFonts w:hint="eastAsia" w:ascii="仿宋_GB2312" w:eastAsia="仿宋_GB2312"/>
          <w:sz w:val="32"/>
          <w:szCs w:val="32"/>
        </w:rPr>
        <w:t>月</w:t>
      </w:r>
    </w:p>
    <w:p w14:paraId="2D4D81C3">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（5）项目内容。机关离休干部2人，退休干部90人，企业离休人员17人，企业退休县干24人，对保障对象的慰问等管理服务工作</w:t>
      </w:r>
      <w:r>
        <w:rPr>
          <w:rFonts w:hint="eastAsia" w:ascii="TimesNewRoman" w:hAnsi="TimesNewRoman" w:eastAsia="仿宋_GB2312" w:cs="TimesNewRoman"/>
          <w:kern w:val="0"/>
          <w:sz w:val="32"/>
          <w:szCs w:val="32"/>
          <w:lang w:eastAsia="zh-CN"/>
        </w:rPr>
        <w:t>。</w:t>
      </w:r>
    </w:p>
    <w:p w14:paraId="5A7571E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（6）年度预算安排。3.00</w:t>
      </w:r>
      <w:r>
        <w:rPr>
          <w:rFonts w:hint="eastAsia" w:ascii="仿宋_GB2312" w:hAnsi="楷体" w:eastAsia="仿宋_GB2312"/>
          <w:sz w:val="32"/>
          <w:szCs w:val="32"/>
        </w:rPr>
        <w:t>万元</w:t>
      </w:r>
    </w:p>
    <w:p w14:paraId="5D93164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1565"/>
        <w:gridCol w:w="1784"/>
        <w:gridCol w:w="488"/>
        <w:gridCol w:w="1360"/>
        <w:gridCol w:w="2380"/>
      </w:tblGrid>
      <w:tr w14:paraId="588E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8"/>
            <w:tcBorders>
              <w:top w:val="nil"/>
              <w:left w:val="nil"/>
              <w:bottom w:val="nil"/>
              <w:right w:val="nil"/>
            </w:tcBorders>
            <w:vAlign w:val="center"/>
          </w:tcPr>
          <w:p w14:paraId="55B1B51F">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1E4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8"/>
            <w:tcBorders>
              <w:top w:val="nil"/>
              <w:left w:val="nil"/>
              <w:right w:val="nil"/>
            </w:tcBorders>
            <w:vAlign w:val="center"/>
          </w:tcPr>
          <w:p w14:paraId="2BAD4B55">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050A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ADC7D07">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5"/>
            <w:tcBorders>
              <w:tl2br w:val="nil"/>
              <w:tr2bl w:val="nil"/>
            </w:tcBorders>
            <w:vAlign w:val="center"/>
          </w:tcPr>
          <w:p w14:paraId="145A75A9">
            <w:pPr>
              <w:jc w:val="center"/>
              <w:rPr>
                <w:rFonts w:ascii="宋体" w:cs="宋体"/>
                <w:sz w:val="20"/>
              </w:rPr>
            </w:pPr>
            <w:r>
              <w:rPr>
                <w:rFonts w:hint="eastAsia" w:ascii="宋体" w:cs="宋体"/>
                <w:sz w:val="20"/>
              </w:rPr>
              <w:t>行业职能和管理服务费</w:t>
            </w:r>
          </w:p>
        </w:tc>
      </w:tr>
      <w:tr w14:paraId="0847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699A3C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0215BA2">
            <w:pPr>
              <w:jc w:val="center"/>
              <w:rPr>
                <w:rFonts w:ascii="宋体" w:cs="宋体"/>
                <w:sz w:val="20"/>
              </w:rPr>
            </w:pPr>
            <w:r>
              <w:rPr>
                <w:rFonts w:hint="eastAsia" w:ascii="宋体" w:cs="宋体"/>
                <w:sz w:val="20"/>
              </w:rPr>
              <w:t>285淮北市</w:t>
            </w:r>
            <w:r>
              <w:rPr>
                <w:rFonts w:hint="eastAsia" w:ascii="宋体" w:cs="宋体"/>
                <w:sz w:val="20"/>
                <w:lang w:val="en-US" w:eastAsia="zh-CN"/>
              </w:rPr>
              <w:t>工业</w:t>
            </w:r>
            <w:r>
              <w:rPr>
                <w:rFonts w:hint="eastAsia" w:ascii="宋体" w:cs="宋体"/>
                <w:sz w:val="20"/>
              </w:rPr>
              <w:t>和信息化局</w:t>
            </w:r>
          </w:p>
        </w:tc>
        <w:tc>
          <w:tcPr>
            <w:tcW w:w="1848" w:type="dxa"/>
            <w:gridSpan w:val="2"/>
            <w:tcBorders>
              <w:tl2br w:val="nil"/>
              <w:tr2bl w:val="nil"/>
            </w:tcBorders>
            <w:vAlign w:val="center"/>
          </w:tcPr>
          <w:p w14:paraId="1C7C4FDD">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0735662F">
            <w:pPr>
              <w:jc w:val="center"/>
            </w:pPr>
            <w:r>
              <w:rPr>
                <w:rFonts w:hint="eastAsia"/>
              </w:rPr>
              <w:t>淮北市企业服务中心</w:t>
            </w:r>
          </w:p>
        </w:tc>
      </w:tr>
      <w:tr w14:paraId="4672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1A8F339F">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5012CCB1">
            <w:pPr>
              <w:jc w:val="center"/>
              <w:rPr>
                <w:rFonts w:ascii="宋体" w:cs="宋体"/>
                <w:sz w:val="20"/>
              </w:rPr>
            </w:pPr>
            <w:r>
              <w:rPr>
                <w:rFonts w:hint="eastAsia" w:ascii="宋体" w:hAnsi="宋体" w:eastAsia="宋体" w:cs="宋体"/>
                <w:color w:val="000000"/>
                <w:kern w:val="0"/>
                <w:sz w:val="20"/>
                <w:szCs w:val="20"/>
              </w:rPr>
              <w:t>1-本级申报项目</w:t>
            </w:r>
          </w:p>
        </w:tc>
        <w:tc>
          <w:tcPr>
            <w:tcW w:w="1848" w:type="dxa"/>
            <w:gridSpan w:val="2"/>
            <w:tcBorders>
              <w:tl2br w:val="nil"/>
              <w:tr2bl w:val="nil"/>
            </w:tcBorders>
            <w:vAlign w:val="center"/>
          </w:tcPr>
          <w:p w14:paraId="4175D312">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65F51B61">
            <w:pPr>
              <w:jc w:val="center"/>
            </w:pPr>
            <w:r>
              <w:rPr>
                <w:rFonts w:hint="eastAsia"/>
              </w:rPr>
              <w:t>202</w:t>
            </w:r>
            <w:r>
              <w:rPr>
                <w:rFonts w:hint="eastAsia"/>
                <w:lang w:val="en-US" w:eastAsia="zh-CN"/>
              </w:rPr>
              <w:t>5</w:t>
            </w:r>
            <w:r>
              <w:rPr>
                <w:rFonts w:hint="eastAsia"/>
              </w:rPr>
              <w:t>年度</w:t>
            </w:r>
          </w:p>
        </w:tc>
      </w:tr>
      <w:tr w14:paraId="21C8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D3BFBBC">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5E3D51C3">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3"/>
            <w:tcBorders>
              <w:tl2br w:val="nil"/>
              <w:tr2bl w:val="nil"/>
            </w:tcBorders>
            <w:vAlign w:val="center"/>
          </w:tcPr>
          <w:p w14:paraId="67910C70">
            <w:pPr>
              <w:jc w:val="right"/>
              <w:rPr>
                <w:rFonts w:ascii="宋体" w:cs="宋体"/>
                <w:sz w:val="20"/>
              </w:rPr>
            </w:pPr>
            <w:r>
              <w:rPr>
                <w:rFonts w:hint="eastAsia" w:ascii="宋体" w:cs="宋体"/>
                <w:sz w:val="20"/>
              </w:rPr>
              <w:t>3.00</w:t>
            </w:r>
          </w:p>
        </w:tc>
      </w:tr>
      <w:tr w14:paraId="516C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7E2B90C">
            <w:pPr>
              <w:jc w:val="center"/>
              <w:rPr>
                <w:rFonts w:ascii="宋体" w:cs="宋体"/>
                <w:sz w:val="20"/>
              </w:rPr>
            </w:pPr>
          </w:p>
        </w:tc>
        <w:tc>
          <w:tcPr>
            <w:tcW w:w="3349" w:type="dxa"/>
            <w:gridSpan w:val="2"/>
            <w:tcBorders>
              <w:tl2br w:val="nil"/>
              <w:tr2bl w:val="nil"/>
            </w:tcBorders>
            <w:vAlign w:val="center"/>
          </w:tcPr>
          <w:p w14:paraId="0674340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3"/>
            <w:tcBorders>
              <w:tl2br w:val="nil"/>
              <w:tr2bl w:val="nil"/>
            </w:tcBorders>
            <w:vAlign w:val="center"/>
          </w:tcPr>
          <w:p w14:paraId="3E8D7C45">
            <w:pPr>
              <w:jc w:val="right"/>
              <w:rPr>
                <w:rFonts w:ascii="宋体" w:cs="宋体"/>
                <w:sz w:val="20"/>
              </w:rPr>
            </w:pPr>
            <w:r>
              <w:rPr>
                <w:rFonts w:hint="eastAsia" w:ascii="宋体" w:cs="宋体"/>
                <w:sz w:val="20"/>
              </w:rPr>
              <w:t>3.00</w:t>
            </w:r>
          </w:p>
        </w:tc>
      </w:tr>
      <w:tr w14:paraId="42CE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BB15566">
            <w:pPr>
              <w:jc w:val="center"/>
              <w:rPr>
                <w:rFonts w:ascii="宋体" w:cs="宋体"/>
                <w:sz w:val="20"/>
              </w:rPr>
            </w:pPr>
          </w:p>
        </w:tc>
        <w:tc>
          <w:tcPr>
            <w:tcW w:w="3349" w:type="dxa"/>
            <w:gridSpan w:val="2"/>
            <w:tcBorders>
              <w:tl2br w:val="nil"/>
              <w:tr2bl w:val="nil"/>
            </w:tcBorders>
            <w:vAlign w:val="center"/>
          </w:tcPr>
          <w:p w14:paraId="66E397F8">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3"/>
            <w:tcBorders>
              <w:tl2br w:val="nil"/>
              <w:tr2bl w:val="nil"/>
            </w:tcBorders>
            <w:vAlign w:val="center"/>
          </w:tcPr>
          <w:p w14:paraId="1F242951">
            <w:pPr>
              <w:jc w:val="center"/>
              <w:rPr>
                <w:rFonts w:ascii="宋体" w:cs="宋体"/>
                <w:sz w:val="20"/>
              </w:rPr>
            </w:pPr>
          </w:p>
        </w:tc>
      </w:tr>
      <w:tr w14:paraId="41F9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D345952">
            <w:pPr>
              <w:jc w:val="center"/>
              <w:rPr>
                <w:rFonts w:ascii="宋体" w:cs="宋体"/>
                <w:sz w:val="20"/>
              </w:rPr>
            </w:pPr>
          </w:p>
        </w:tc>
        <w:tc>
          <w:tcPr>
            <w:tcW w:w="3349" w:type="dxa"/>
            <w:gridSpan w:val="2"/>
            <w:tcBorders>
              <w:tl2br w:val="nil"/>
              <w:tr2bl w:val="nil"/>
            </w:tcBorders>
            <w:vAlign w:val="center"/>
          </w:tcPr>
          <w:p w14:paraId="23D03034">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3"/>
            <w:tcBorders>
              <w:tl2br w:val="nil"/>
              <w:tr2bl w:val="nil"/>
            </w:tcBorders>
            <w:vAlign w:val="center"/>
          </w:tcPr>
          <w:p w14:paraId="77C68622">
            <w:pPr>
              <w:jc w:val="right"/>
              <w:rPr>
                <w:rFonts w:ascii="宋体" w:cs="宋体"/>
                <w:sz w:val="20"/>
              </w:rPr>
            </w:pPr>
          </w:p>
        </w:tc>
      </w:tr>
      <w:tr w14:paraId="286F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6EF1FA2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7"/>
            <w:tcBorders>
              <w:tl2br w:val="nil"/>
              <w:tr2bl w:val="nil"/>
            </w:tcBorders>
            <w:vAlign w:val="center"/>
          </w:tcPr>
          <w:p w14:paraId="32811D32">
            <w:pPr>
              <w:jc w:val="left"/>
              <w:rPr>
                <w:rFonts w:ascii="宋体" w:cs="宋体"/>
                <w:sz w:val="20"/>
              </w:rPr>
            </w:pPr>
            <w:r>
              <w:rPr>
                <w:rFonts w:hint="eastAsia" w:ascii="宋体" w:hAnsi="宋体" w:eastAsia="宋体" w:cs="宋体"/>
                <w:color w:val="000000"/>
                <w:kern w:val="0"/>
                <w:sz w:val="20"/>
                <w:szCs w:val="20"/>
              </w:rPr>
              <w:t>原机电、冶化、轻工、纺织协会机关离退休人员及行业市属企业离休干部和军转干部的管理服务工作，起到维稳作用。</w:t>
            </w:r>
          </w:p>
        </w:tc>
      </w:tr>
      <w:tr w14:paraId="7950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C90EC31">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1A0F236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847" w:type="dxa"/>
            <w:gridSpan w:val="2"/>
            <w:tcBorders>
              <w:tl2br w:val="nil"/>
              <w:tr2bl w:val="nil"/>
            </w:tcBorders>
            <w:vAlign w:val="center"/>
          </w:tcPr>
          <w:p w14:paraId="14B8B23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272" w:type="dxa"/>
            <w:gridSpan w:val="2"/>
            <w:tcBorders>
              <w:tl2br w:val="nil"/>
              <w:tr2bl w:val="nil"/>
            </w:tcBorders>
            <w:vAlign w:val="center"/>
          </w:tcPr>
          <w:p w14:paraId="02D4CBB1">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3740" w:type="dxa"/>
            <w:gridSpan w:val="2"/>
            <w:tcBorders>
              <w:tl2br w:val="nil"/>
              <w:tr2bl w:val="nil"/>
            </w:tcBorders>
            <w:vAlign w:val="center"/>
          </w:tcPr>
          <w:p w14:paraId="1CC049B9">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102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38" w:type="dxa"/>
            <w:vMerge w:val="continue"/>
            <w:tcBorders>
              <w:tl2br w:val="nil"/>
              <w:tr2bl w:val="nil"/>
            </w:tcBorders>
            <w:vAlign w:val="center"/>
          </w:tcPr>
          <w:p w14:paraId="2B7DA338">
            <w:pPr>
              <w:jc w:val="center"/>
              <w:rPr>
                <w:rFonts w:ascii="宋体" w:cs="宋体"/>
                <w:sz w:val="20"/>
              </w:rPr>
            </w:pPr>
          </w:p>
        </w:tc>
        <w:tc>
          <w:tcPr>
            <w:tcW w:w="723" w:type="dxa"/>
            <w:vMerge w:val="restart"/>
            <w:tcBorders>
              <w:tl2br w:val="nil"/>
              <w:tr2bl w:val="nil"/>
            </w:tcBorders>
            <w:vAlign w:val="center"/>
          </w:tcPr>
          <w:p w14:paraId="1EBAB76F">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1847" w:type="dxa"/>
            <w:gridSpan w:val="2"/>
            <w:tcBorders>
              <w:tl2br w:val="nil"/>
              <w:tr2bl w:val="nil"/>
            </w:tcBorders>
            <w:vAlign w:val="center"/>
          </w:tcPr>
          <w:p w14:paraId="719DE997">
            <w:pPr>
              <w:widowControl/>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272" w:type="dxa"/>
            <w:gridSpan w:val="2"/>
            <w:tcBorders>
              <w:tl2br w:val="nil"/>
              <w:tr2bl w:val="nil"/>
            </w:tcBorders>
            <w:vAlign w:val="center"/>
          </w:tcPr>
          <w:p w14:paraId="37B471C3">
            <w:pPr>
              <w:widowControl/>
              <w:jc w:val="center"/>
              <w:textAlignment w:val="center"/>
              <w:rPr>
                <w:rFonts w:ascii="宋体" w:hAnsi="宋体" w:eastAsia="宋体" w:cs="宋体"/>
                <w:color w:val="000000"/>
                <w:kern w:val="0"/>
                <w:sz w:val="20"/>
                <w:szCs w:val="20"/>
              </w:rPr>
            </w:pPr>
            <w:r>
              <w:rPr>
                <w:rFonts w:ascii="宋体" w:hAnsi="宋体" w:eastAsia="宋体" w:cs="宋体"/>
                <w:color w:val="000000"/>
                <w:kern w:val="0"/>
                <w:sz w:val="20"/>
                <w:szCs w:val="20"/>
              </w:rPr>
              <w:br w:type="textWrapping"/>
            </w:r>
            <w:r>
              <w:rPr>
                <w:rFonts w:ascii="宋体" w:hAnsi="宋体" w:eastAsia="宋体" w:cs="宋体"/>
                <w:color w:val="000000"/>
                <w:kern w:val="0"/>
                <w:sz w:val="20"/>
                <w:szCs w:val="20"/>
              </w:rPr>
              <w:t>离休干部和军转干部的管理服务人数</w:t>
            </w:r>
          </w:p>
        </w:tc>
        <w:tc>
          <w:tcPr>
            <w:tcW w:w="3740" w:type="dxa"/>
            <w:gridSpan w:val="2"/>
            <w:tcBorders>
              <w:tl2br w:val="nil"/>
              <w:tr2bl w:val="nil"/>
            </w:tcBorders>
            <w:vAlign w:val="center"/>
          </w:tcPr>
          <w:p w14:paraId="4715A023">
            <w:pPr>
              <w:widowControl/>
              <w:jc w:val="center"/>
              <w:textAlignment w:val="center"/>
              <w:rPr>
                <w:rFonts w:hint="default" w:ascii="宋体" w:cs="宋体" w:eastAsiaTheme="minorEastAsia"/>
                <w:sz w:val="20"/>
                <w:lang w:val="en-US" w:eastAsia="zh-CN"/>
              </w:rPr>
            </w:pPr>
            <w:r>
              <w:rPr>
                <w:rFonts w:ascii="宋体" w:cs="宋体"/>
                <w:sz w:val="20"/>
              </w:rPr>
              <w:t>≤</w:t>
            </w:r>
            <w:r>
              <w:rPr>
                <w:rFonts w:hint="eastAsia" w:ascii="宋体" w:cs="宋体"/>
                <w:sz w:val="20"/>
                <w:lang w:val="en-US" w:eastAsia="zh-CN"/>
              </w:rPr>
              <w:t>109人</w:t>
            </w:r>
          </w:p>
        </w:tc>
      </w:tr>
      <w:tr w14:paraId="7250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38" w:type="dxa"/>
            <w:vMerge w:val="continue"/>
            <w:tcBorders>
              <w:tl2br w:val="nil"/>
              <w:tr2bl w:val="nil"/>
            </w:tcBorders>
            <w:vAlign w:val="center"/>
          </w:tcPr>
          <w:p w14:paraId="6EA19897">
            <w:pPr>
              <w:jc w:val="center"/>
              <w:rPr>
                <w:rFonts w:ascii="宋体" w:cs="宋体"/>
                <w:sz w:val="20"/>
              </w:rPr>
            </w:pPr>
          </w:p>
        </w:tc>
        <w:tc>
          <w:tcPr>
            <w:tcW w:w="723" w:type="dxa"/>
            <w:vMerge w:val="continue"/>
            <w:tcBorders>
              <w:tl2br w:val="nil"/>
              <w:tr2bl w:val="nil"/>
            </w:tcBorders>
            <w:vAlign w:val="center"/>
          </w:tcPr>
          <w:p w14:paraId="5E93631D">
            <w:pPr>
              <w:jc w:val="center"/>
              <w:rPr>
                <w:rFonts w:ascii="宋体" w:cs="宋体"/>
                <w:sz w:val="20"/>
              </w:rPr>
            </w:pPr>
          </w:p>
        </w:tc>
        <w:tc>
          <w:tcPr>
            <w:tcW w:w="1847" w:type="dxa"/>
            <w:gridSpan w:val="2"/>
            <w:tcBorders>
              <w:tl2br w:val="nil"/>
              <w:tr2bl w:val="nil"/>
            </w:tcBorders>
            <w:vAlign w:val="center"/>
          </w:tcPr>
          <w:p w14:paraId="4F351761">
            <w:pPr>
              <w:widowControl/>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272" w:type="dxa"/>
            <w:gridSpan w:val="2"/>
            <w:tcBorders>
              <w:tl2br w:val="nil"/>
              <w:tr2bl w:val="nil"/>
            </w:tcBorders>
            <w:vAlign w:val="center"/>
          </w:tcPr>
          <w:p w14:paraId="03C7CA2E">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经费使用合规性</w:t>
            </w:r>
          </w:p>
        </w:tc>
        <w:tc>
          <w:tcPr>
            <w:tcW w:w="3740" w:type="dxa"/>
            <w:gridSpan w:val="2"/>
            <w:tcBorders>
              <w:tl2br w:val="nil"/>
              <w:tr2bl w:val="nil"/>
            </w:tcBorders>
            <w:vAlign w:val="center"/>
          </w:tcPr>
          <w:p w14:paraId="7DDDA9E2">
            <w:pPr>
              <w:widowControl/>
              <w:jc w:val="center"/>
              <w:textAlignment w:val="center"/>
              <w:rPr>
                <w:rFonts w:ascii="宋体" w:cs="宋体"/>
                <w:sz w:val="20"/>
              </w:rPr>
            </w:pPr>
            <w:r>
              <w:rPr>
                <w:rFonts w:hint="eastAsia" w:ascii="宋体" w:hAnsi="宋体" w:eastAsia="宋体" w:cs="宋体"/>
                <w:color w:val="000000"/>
                <w:sz w:val="20"/>
                <w:szCs w:val="20"/>
              </w:rPr>
              <w:t>严格执行相关法律法规</w:t>
            </w:r>
          </w:p>
        </w:tc>
      </w:tr>
      <w:tr w14:paraId="0375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38" w:type="dxa"/>
            <w:vMerge w:val="continue"/>
            <w:tcBorders>
              <w:tl2br w:val="nil"/>
              <w:tr2bl w:val="nil"/>
            </w:tcBorders>
            <w:vAlign w:val="center"/>
          </w:tcPr>
          <w:p w14:paraId="25BF6A75">
            <w:pPr>
              <w:jc w:val="center"/>
              <w:rPr>
                <w:rFonts w:ascii="宋体" w:cs="宋体"/>
                <w:sz w:val="20"/>
              </w:rPr>
            </w:pPr>
          </w:p>
        </w:tc>
        <w:tc>
          <w:tcPr>
            <w:tcW w:w="723" w:type="dxa"/>
            <w:vMerge w:val="continue"/>
            <w:tcBorders>
              <w:tl2br w:val="nil"/>
              <w:tr2bl w:val="nil"/>
            </w:tcBorders>
            <w:vAlign w:val="center"/>
          </w:tcPr>
          <w:p w14:paraId="52A1595E">
            <w:pPr>
              <w:jc w:val="center"/>
              <w:rPr>
                <w:rFonts w:ascii="宋体" w:cs="宋体"/>
                <w:sz w:val="20"/>
              </w:rPr>
            </w:pPr>
          </w:p>
        </w:tc>
        <w:tc>
          <w:tcPr>
            <w:tcW w:w="1847" w:type="dxa"/>
            <w:gridSpan w:val="2"/>
            <w:tcBorders>
              <w:tl2br w:val="nil"/>
              <w:tr2bl w:val="nil"/>
            </w:tcBorders>
            <w:vAlign w:val="center"/>
          </w:tcPr>
          <w:p w14:paraId="777FAC36">
            <w:pPr>
              <w:widowControl/>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272" w:type="dxa"/>
            <w:gridSpan w:val="2"/>
            <w:tcBorders>
              <w:tl2br w:val="nil"/>
              <w:tr2bl w:val="nil"/>
            </w:tcBorders>
            <w:vAlign w:val="center"/>
          </w:tcPr>
          <w:p w14:paraId="48457D44">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经费支出时效性</w:t>
            </w:r>
          </w:p>
        </w:tc>
        <w:tc>
          <w:tcPr>
            <w:tcW w:w="3740" w:type="dxa"/>
            <w:gridSpan w:val="2"/>
            <w:tcBorders>
              <w:tl2br w:val="nil"/>
              <w:tr2bl w:val="nil"/>
            </w:tcBorders>
            <w:vAlign w:val="center"/>
          </w:tcPr>
          <w:p w14:paraId="245E0ED0">
            <w:pPr>
              <w:widowControl/>
              <w:jc w:val="center"/>
              <w:textAlignment w:val="center"/>
              <w:rPr>
                <w:rFonts w:ascii="宋体" w:cs="宋体"/>
                <w:sz w:val="20"/>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年度</w:t>
            </w:r>
          </w:p>
        </w:tc>
      </w:tr>
      <w:tr w14:paraId="1EA5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8" w:type="dxa"/>
            <w:vMerge w:val="continue"/>
            <w:tcBorders>
              <w:tl2br w:val="nil"/>
              <w:tr2bl w:val="nil"/>
            </w:tcBorders>
            <w:vAlign w:val="center"/>
          </w:tcPr>
          <w:p w14:paraId="216C663E">
            <w:pPr>
              <w:jc w:val="center"/>
              <w:rPr>
                <w:rFonts w:ascii="宋体" w:cs="宋体"/>
                <w:sz w:val="20"/>
              </w:rPr>
            </w:pPr>
          </w:p>
        </w:tc>
        <w:tc>
          <w:tcPr>
            <w:tcW w:w="723" w:type="dxa"/>
            <w:vMerge w:val="continue"/>
            <w:tcBorders>
              <w:tl2br w:val="nil"/>
              <w:tr2bl w:val="nil"/>
            </w:tcBorders>
            <w:vAlign w:val="center"/>
          </w:tcPr>
          <w:p w14:paraId="5977BC5B">
            <w:pPr>
              <w:jc w:val="center"/>
              <w:rPr>
                <w:rFonts w:ascii="宋体" w:cs="宋体"/>
                <w:sz w:val="20"/>
              </w:rPr>
            </w:pPr>
          </w:p>
        </w:tc>
        <w:tc>
          <w:tcPr>
            <w:tcW w:w="1847" w:type="dxa"/>
            <w:gridSpan w:val="2"/>
            <w:tcBorders>
              <w:tl2br w:val="nil"/>
              <w:tr2bl w:val="nil"/>
            </w:tcBorders>
            <w:vAlign w:val="center"/>
          </w:tcPr>
          <w:p w14:paraId="0A71159A">
            <w:pPr>
              <w:widowControl/>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272" w:type="dxa"/>
            <w:gridSpan w:val="2"/>
            <w:tcBorders>
              <w:tl2br w:val="nil"/>
              <w:tr2bl w:val="nil"/>
            </w:tcBorders>
            <w:vAlign w:val="center"/>
          </w:tcPr>
          <w:p w14:paraId="1E701C97">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成本总额</w:t>
            </w:r>
          </w:p>
        </w:tc>
        <w:tc>
          <w:tcPr>
            <w:tcW w:w="3740" w:type="dxa"/>
            <w:gridSpan w:val="2"/>
            <w:tcBorders>
              <w:tl2br w:val="nil"/>
              <w:tr2bl w:val="nil"/>
            </w:tcBorders>
            <w:vAlign w:val="center"/>
          </w:tcPr>
          <w:p w14:paraId="30924E60">
            <w:pPr>
              <w:widowControl/>
              <w:jc w:val="center"/>
              <w:textAlignment w:val="center"/>
              <w:rPr>
                <w:rFonts w:ascii="宋体" w:cs="宋体"/>
                <w:sz w:val="20"/>
              </w:rPr>
            </w:pPr>
            <w:r>
              <w:rPr>
                <w:rFonts w:hint="eastAsia" w:ascii="宋体" w:hAnsi="宋体" w:eastAsia="宋体" w:cs="宋体"/>
                <w:color w:val="000000"/>
                <w:kern w:val="0"/>
                <w:sz w:val="20"/>
                <w:szCs w:val="20"/>
              </w:rPr>
              <w:t>≤3万元</w:t>
            </w:r>
          </w:p>
        </w:tc>
      </w:tr>
      <w:tr w14:paraId="6933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38" w:type="dxa"/>
            <w:vMerge w:val="continue"/>
            <w:tcBorders>
              <w:tl2br w:val="nil"/>
              <w:tr2bl w:val="nil"/>
            </w:tcBorders>
            <w:vAlign w:val="center"/>
          </w:tcPr>
          <w:p w14:paraId="1DB94F89">
            <w:pPr>
              <w:jc w:val="center"/>
              <w:rPr>
                <w:rFonts w:ascii="宋体" w:cs="宋体"/>
                <w:sz w:val="20"/>
              </w:rPr>
            </w:pPr>
          </w:p>
        </w:tc>
        <w:tc>
          <w:tcPr>
            <w:tcW w:w="723" w:type="dxa"/>
            <w:vMerge w:val="restart"/>
            <w:tcBorders>
              <w:tl2br w:val="nil"/>
              <w:tr2bl w:val="nil"/>
            </w:tcBorders>
            <w:vAlign w:val="center"/>
          </w:tcPr>
          <w:p w14:paraId="0AD8B81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1847" w:type="dxa"/>
            <w:gridSpan w:val="2"/>
            <w:tcBorders>
              <w:tl2br w:val="nil"/>
              <w:tr2bl w:val="nil"/>
            </w:tcBorders>
            <w:vAlign w:val="center"/>
          </w:tcPr>
          <w:p w14:paraId="503A1638">
            <w:pPr>
              <w:widowControl/>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272" w:type="dxa"/>
            <w:gridSpan w:val="2"/>
            <w:tcBorders>
              <w:tl2br w:val="nil"/>
              <w:tr2bl w:val="nil"/>
            </w:tcBorders>
            <w:vAlign w:val="center"/>
          </w:tcPr>
          <w:p w14:paraId="64F5CF3A">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促进离休干部的稳定</w:t>
            </w:r>
          </w:p>
        </w:tc>
        <w:tc>
          <w:tcPr>
            <w:tcW w:w="3740" w:type="dxa"/>
            <w:gridSpan w:val="2"/>
            <w:tcBorders>
              <w:tl2br w:val="nil"/>
              <w:tr2bl w:val="nil"/>
            </w:tcBorders>
            <w:vAlign w:val="center"/>
          </w:tcPr>
          <w:p w14:paraId="11195BFB">
            <w:pPr>
              <w:widowControl/>
              <w:jc w:val="center"/>
              <w:textAlignment w:val="center"/>
              <w:rPr>
                <w:rFonts w:ascii="宋体" w:cs="宋体"/>
                <w:sz w:val="20"/>
              </w:rPr>
            </w:pPr>
            <w:r>
              <w:rPr>
                <w:rFonts w:hint="eastAsia"/>
              </w:rPr>
              <w:t>较高</w:t>
            </w:r>
          </w:p>
        </w:tc>
      </w:tr>
      <w:tr w14:paraId="4F94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38" w:type="dxa"/>
            <w:vMerge w:val="continue"/>
            <w:tcBorders>
              <w:tl2br w:val="nil"/>
              <w:tr2bl w:val="nil"/>
            </w:tcBorders>
            <w:vAlign w:val="center"/>
          </w:tcPr>
          <w:p w14:paraId="4C5D3F0D">
            <w:pPr>
              <w:jc w:val="center"/>
              <w:rPr>
                <w:rFonts w:ascii="宋体" w:cs="宋体"/>
                <w:sz w:val="20"/>
              </w:rPr>
            </w:pPr>
          </w:p>
        </w:tc>
        <w:tc>
          <w:tcPr>
            <w:tcW w:w="723" w:type="dxa"/>
            <w:vMerge w:val="continue"/>
            <w:tcBorders>
              <w:tl2br w:val="nil"/>
              <w:tr2bl w:val="nil"/>
            </w:tcBorders>
            <w:vAlign w:val="center"/>
          </w:tcPr>
          <w:p w14:paraId="61AFE6EF">
            <w:pPr>
              <w:jc w:val="center"/>
              <w:rPr>
                <w:rFonts w:ascii="宋体" w:cs="宋体"/>
                <w:sz w:val="20"/>
              </w:rPr>
            </w:pPr>
          </w:p>
        </w:tc>
        <w:tc>
          <w:tcPr>
            <w:tcW w:w="1847" w:type="dxa"/>
            <w:gridSpan w:val="2"/>
            <w:tcBorders>
              <w:tl2br w:val="nil"/>
              <w:tr2bl w:val="nil"/>
            </w:tcBorders>
            <w:vAlign w:val="center"/>
          </w:tcPr>
          <w:p w14:paraId="5A8BDE3D">
            <w:pPr>
              <w:widowControl/>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272" w:type="dxa"/>
            <w:gridSpan w:val="2"/>
            <w:tcBorders>
              <w:tl2br w:val="nil"/>
              <w:tr2bl w:val="nil"/>
            </w:tcBorders>
            <w:vAlign w:val="center"/>
          </w:tcPr>
          <w:p w14:paraId="323A68D8">
            <w:pPr>
              <w:widowControl/>
              <w:jc w:val="center"/>
              <w:textAlignment w:val="center"/>
              <w:rPr>
                <w:rFonts w:ascii="宋体" w:hAnsi="宋体" w:eastAsia="宋体" w:cs="宋体"/>
                <w:color w:val="000000"/>
                <w:kern w:val="0"/>
                <w:sz w:val="20"/>
                <w:szCs w:val="20"/>
              </w:rPr>
            </w:pPr>
            <w:r>
              <w:rPr>
                <w:rFonts w:ascii="宋体" w:hAnsi="宋体" w:eastAsia="宋体" w:cs="宋体"/>
                <w:color w:val="000000"/>
                <w:kern w:val="0"/>
                <w:sz w:val="20"/>
                <w:szCs w:val="20"/>
              </w:rPr>
              <w:t>减轻家庭负担的影响</w:t>
            </w:r>
          </w:p>
        </w:tc>
        <w:tc>
          <w:tcPr>
            <w:tcW w:w="3740" w:type="dxa"/>
            <w:gridSpan w:val="2"/>
            <w:tcBorders>
              <w:tl2br w:val="nil"/>
              <w:tr2bl w:val="nil"/>
            </w:tcBorders>
            <w:vAlign w:val="center"/>
          </w:tcPr>
          <w:p w14:paraId="1BF5E17B">
            <w:pPr>
              <w:widowControl/>
              <w:jc w:val="center"/>
              <w:textAlignment w:val="center"/>
              <w:rPr>
                <w:rFonts w:ascii="宋体" w:cs="宋体"/>
                <w:sz w:val="20"/>
              </w:rPr>
            </w:pPr>
            <w:r>
              <w:rPr>
                <w:rFonts w:hint="eastAsia"/>
              </w:rPr>
              <w:t>较高</w:t>
            </w:r>
          </w:p>
        </w:tc>
      </w:tr>
      <w:tr w14:paraId="0A7A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38" w:type="dxa"/>
            <w:vMerge w:val="continue"/>
            <w:tcBorders>
              <w:tl2br w:val="nil"/>
              <w:tr2bl w:val="nil"/>
            </w:tcBorders>
            <w:vAlign w:val="center"/>
          </w:tcPr>
          <w:p w14:paraId="6FCF5633">
            <w:pPr>
              <w:jc w:val="center"/>
              <w:rPr>
                <w:rFonts w:ascii="宋体" w:cs="宋体"/>
                <w:sz w:val="20"/>
              </w:rPr>
            </w:pPr>
          </w:p>
        </w:tc>
        <w:tc>
          <w:tcPr>
            <w:tcW w:w="723" w:type="dxa"/>
            <w:vMerge w:val="continue"/>
            <w:tcBorders>
              <w:tl2br w:val="nil"/>
              <w:tr2bl w:val="nil"/>
            </w:tcBorders>
            <w:vAlign w:val="center"/>
          </w:tcPr>
          <w:p w14:paraId="7409C423">
            <w:pPr>
              <w:jc w:val="center"/>
              <w:rPr>
                <w:rFonts w:ascii="宋体" w:cs="宋体"/>
                <w:sz w:val="20"/>
              </w:rPr>
            </w:pPr>
          </w:p>
        </w:tc>
        <w:tc>
          <w:tcPr>
            <w:tcW w:w="1847" w:type="dxa"/>
            <w:gridSpan w:val="2"/>
            <w:tcBorders>
              <w:tl2br w:val="nil"/>
              <w:tr2bl w:val="nil"/>
            </w:tcBorders>
            <w:vAlign w:val="center"/>
          </w:tcPr>
          <w:p w14:paraId="3C907E86">
            <w:pPr>
              <w:widowControl/>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272" w:type="dxa"/>
            <w:gridSpan w:val="2"/>
            <w:tcBorders>
              <w:tl2br w:val="nil"/>
              <w:tr2bl w:val="nil"/>
            </w:tcBorders>
            <w:vAlign w:val="center"/>
          </w:tcPr>
          <w:p w14:paraId="72289771">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提升环保意识的影响</w:t>
            </w:r>
          </w:p>
        </w:tc>
        <w:tc>
          <w:tcPr>
            <w:tcW w:w="3740" w:type="dxa"/>
            <w:gridSpan w:val="2"/>
            <w:tcBorders>
              <w:tl2br w:val="nil"/>
              <w:tr2bl w:val="nil"/>
            </w:tcBorders>
            <w:vAlign w:val="center"/>
          </w:tcPr>
          <w:p w14:paraId="6DF8B936">
            <w:pPr>
              <w:widowControl/>
              <w:jc w:val="center"/>
              <w:textAlignment w:val="center"/>
              <w:rPr>
                <w:rFonts w:ascii="宋体" w:cs="宋体"/>
                <w:sz w:val="20"/>
              </w:rPr>
            </w:pPr>
            <w:r>
              <w:rPr>
                <w:rFonts w:hint="eastAsia"/>
              </w:rPr>
              <w:t>较高</w:t>
            </w:r>
          </w:p>
        </w:tc>
      </w:tr>
      <w:tr w14:paraId="732C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528DB7F3">
            <w:pPr>
              <w:jc w:val="center"/>
              <w:rPr>
                <w:rFonts w:ascii="宋体" w:cs="宋体"/>
                <w:sz w:val="20"/>
              </w:rPr>
            </w:pPr>
          </w:p>
        </w:tc>
        <w:tc>
          <w:tcPr>
            <w:tcW w:w="723" w:type="dxa"/>
            <w:vMerge w:val="continue"/>
            <w:tcBorders>
              <w:tl2br w:val="nil"/>
              <w:tr2bl w:val="nil"/>
            </w:tcBorders>
            <w:vAlign w:val="center"/>
          </w:tcPr>
          <w:p w14:paraId="3729BF62">
            <w:pPr>
              <w:jc w:val="center"/>
              <w:rPr>
                <w:rFonts w:ascii="宋体" w:cs="宋体"/>
                <w:sz w:val="20"/>
              </w:rPr>
            </w:pPr>
          </w:p>
        </w:tc>
        <w:tc>
          <w:tcPr>
            <w:tcW w:w="1847" w:type="dxa"/>
            <w:gridSpan w:val="2"/>
            <w:tcBorders>
              <w:tl2br w:val="nil"/>
              <w:tr2bl w:val="nil"/>
            </w:tcBorders>
            <w:vAlign w:val="center"/>
          </w:tcPr>
          <w:p w14:paraId="3625FC04">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可持续影响指标</w:t>
            </w:r>
          </w:p>
        </w:tc>
        <w:tc>
          <w:tcPr>
            <w:tcW w:w="2272" w:type="dxa"/>
            <w:gridSpan w:val="2"/>
            <w:tcBorders>
              <w:tl2br w:val="nil"/>
              <w:tr2bl w:val="nil"/>
            </w:tcBorders>
            <w:vAlign w:val="center"/>
          </w:tcPr>
          <w:p w14:paraId="70F4D258">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对促进行业发展的可持续性影响程度</w:t>
            </w:r>
          </w:p>
        </w:tc>
        <w:tc>
          <w:tcPr>
            <w:tcW w:w="3740" w:type="dxa"/>
            <w:gridSpan w:val="2"/>
            <w:tcBorders>
              <w:tl2br w:val="nil"/>
              <w:tr2bl w:val="nil"/>
            </w:tcBorders>
            <w:vAlign w:val="center"/>
          </w:tcPr>
          <w:p w14:paraId="129EA330">
            <w:pPr>
              <w:widowControl/>
              <w:jc w:val="center"/>
              <w:textAlignment w:val="center"/>
              <w:rPr>
                <w:rFonts w:ascii="宋体" w:cs="宋体"/>
                <w:sz w:val="20"/>
              </w:rPr>
            </w:pPr>
            <w:r>
              <w:rPr>
                <w:rFonts w:hint="eastAsia"/>
              </w:rPr>
              <w:t>较高</w:t>
            </w:r>
          </w:p>
        </w:tc>
      </w:tr>
      <w:tr w14:paraId="2030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938D106">
            <w:pPr>
              <w:jc w:val="center"/>
              <w:rPr>
                <w:rFonts w:ascii="宋体" w:cs="宋体"/>
                <w:sz w:val="20"/>
              </w:rPr>
            </w:pPr>
          </w:p>
        </w:tc>
        <w:tc>
          <w:tcPr>
            <w:tcW w:w="723" w:type="dxa"/>
            <w:tcBorders>
              <w:tl2br w:val="nil"/>
              <w:tr2bl w:val="nil"/>
            </w:tcBorders>
            <w:vAlign w:val="center"/>
          </w:tcPr>
          <w:p w14:paraId="4A3A3102">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1847" w:type="dxa"/>
            <w:gridSpan w:val="2"/>
            <w:tcBorders>
              <w:tl2br w:val="nil"/>
              <w:tr2bl w:val="nil"/>
            </w:tcBorders>
            <w:vAlign w:val="center"/>
          </w:tcPr>
          <w:p w14:paraId="6720F99C">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满意度指标</w:t>
            </w:r>
          </w:p>
        </w:tc>
        <w:tc>
          <w:tcPr>
            <w:tcW w:w="2272" w:type="dxa"/>
            <w:gridSpan w:val="2"/>
            <w:tcBorders>
              <w:tl2br w:val="nil"/>
              <w:tr2bl w:val="nil"/>
            </w:tcBorders>
            <w:vAlign w:val="center"/>
          </w:tcPr>
          <w:p w14:paraId="2E601FDF">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社会满意度</w:t>
            </w:r>
          </w:p>
        </w:tc>
        <w:tc>
          <w:tcPr>
            <w:tcW w:w="3740" w:type="dxa"/>
            <w:gridSpan w:val="2"/>
            <w:tcBorders>
              <w:tl2br w:val="nil"/>
              <w:tr2bl w:val="nil"/>
            </w:tcBorders>
            <w:vAlign w:val="center"/>
          </w:tcPr>
          <w:p w14:paraId="6BBE68B2">
            <w:pPr>
              <w:widowControl/>
              <w:jc w:val="center"/>
              <w:textAlignment w:val="center"/>
              <w:rPr>
                <w:rFonts w:ascii="宋体" w:cs="宋体"/>
                <w:sz w:val="20"/>
              </w:rPr>
            </w:pPr>
            <w:r>
              <w:rPr>
                <w:rFonts w:hint="eastAsia" w:ascii="宋体" w:hAnsi="宋体" w:eastAsia="宋体" w:cs="宋体"/>
                <w:color w:val="000000"/>
                <w:kern w:val="0"/>
                <w:sz w:val="20"/>
                <w:szCs w:val="20"/>
              </w:rPr>
              <w:t>≥95%</w:t>
            </w:r>
          </w:p>
        </w:tc>
      </w:tr>
    </w:tbl>
    <w:p w14:paraId="6D7EFFBA">
      <w:pPr>
        <w:ind w:firstLine="420" w:firstLineChars="200"/>
      </w:pPr>
    </w:p>
    <w:p w14:paraId="7DBB9839">
      <w:pPr>
        <w:ind w:firstLine="420" w:firstLineChars="200"/>
      </w:pPr>
    </w:p>
    <w:p w14:paraId="6A36620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、“企业离休人员管理服务费”项目。</w:t>
      </w:r>
    </w:p>
    <w:p w14:paraId="76F8110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（1）项目概述。原行业所属破产企国有企业离休人员9人，每人每年管理服务费3000元，合计27000元</w:t>
      </w:r>
      <w:r>
        <w:rPr>
          <w:rFonts w:hint="eastAsia" w:ascii="TimesNewRoman" w:hAnsi="TimesNewRoman" w:eastAsia="仿宋_GB2312" w:cs="TimesNewRoman"/>
          <w:kern w:val="0"/>
          <w:sz w:val="32"/>
          <w:szCs w:val="32"/>
          <w:lang w:eastAsia="zh-CN"/>
        </w:rPr>
        <w:t>。</w:t>
      </w:r>
    </w:p>
    <w:p w14:paraId="7542F3F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（2）立项依据。原行业所属破产企国有企业离休人员9人，每人每年管理服务费3000元，合计27000元</w:t>
      </w:r>
      <w:r>
        <w:rPr>
          <w:rFonts w:hint="eastAsia" w:ascii="TimesNewRoman" w:hAnsi="TimesNewRoman" w:eastAsia="仿宋_GB2312" w:cs="TimesNewRoman"/>
          <w:kern w:val="0"/>
          <w:sz w:val="32"/>
          <w:szCs w:val="32"/>
          <w:lang w:eastAsia="zh-CN"/>
        </w:rPr>
        <w:t>。</w:t>
      </w:r>
    </w:p>
    <w:p w14:paraId="31FB3A6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（3）实施主体。淮北市企业服务中心</w:t>
      </w:r>
    </w:p>
    <w:p w14:paraId="358697B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仿宋_GB2312" w:eastAsia="仿宋_GB2312"/>
          <w:sz w:val="32"/>
          <w:szCs w:val="32"/>
        </w:rPr>
        <w:t>年</w:t>
      </w:r>
      <w:r>
        <w:rPr>
          <w:rFonts w:hint="eastAsia" w:ascii="TimesNewRoman" w:hAnsi="TimesNewRoman" w:eastAsia="仿宋_GB2312" w:cs="TimesNewRoman"/>
          <w:kern w:val="0"/>
          <w:sz w:val="32"/>
          <w:szCs w:val="32"/>
        </w:rPr>
        <w:t>1</w:t>
      </w:r>
      <w:r>
        <w:rPr>
          <w:rFonts w:hint="eastAsia" w:ascii="仿宋_GB2312" w:eastAsia="仿宋_GB2312"/>
          <w:sz w:val="32"/>
          <w:szCs w:val="32"/>
        </w:rPr>
        <w:t>-</w:t>
      </w:r>
      <w:r>
        <w:rPr>
          <w:rFonts w:hint="eastAsia" w:ascii="TimesNewRoman" w:hAnsi="TimesNewRoman" w:eastAsia="仿宋_GB2312" w:cs="TimesNewRoman"/>
          <w:kern w:val="0"/>
          <w:sz w:val="32"/>
          <w:szCs w:val="32"/>
        </w:rPr>
        <w:t>12</w:t>
      </w:r>
      <w:r>
        <w:rPr>
          <w:rFonts w:hint="eastAsia" w:ascii="仿宋_GB2312" w:eastAsia="仿宋_GB2312"/>
          <w:sz w:val="32"/>
          <w:szCs w:val="32"/>
        </w:rPr>
        <w:t>月</w:t>
      </w:r>
    </w:p>
    <w:p w14:paraId="615E79B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（5）项目内容。原行业所属破产企国有企业离休人员9人，每人每年管理服务费3000元，合计27000元</w:t>
      </w:r>
      <w:r>
        <w:rPr>
          <w:rFonts w:hint="eastAsia" w:ascii="TimesNewRoman" w:hAnsi="TimesNewRoman" w:eastAsia="仿宋_GB2312" w:cs="TimesNewRoman"/>
          <w:kern w:val="0"/>
          <w:sz w:val="32"/>
          <w:szCs w:val="32"/>
          <w:lang w:eastAsia="zh-CN"/>
        </w:rPr>
        <w:t>。</w:t>
      </w:r>
    </w:p>
    <w:p w14:paraId="5024952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2.70万元</w:t>
      </w:r>
    </w:p>
    <w:p w14:paraId="7BE5BD2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1565"/>
        <w:gridCol w:w="1784"/>
        <w:gridCol w:w="642"/>
        <w:gridCol w:w="1206"/>
        <w:gridCol w:w="2380"/>
      </w:tblGrid>
      <w:tr w14:paraId="051A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8"/>
            <w:tcBorders>
              <w:top w:val="nil"/>
              <w:left w:val="nil"/>
              <w:bottom w:val="nil"/>
              <w:right w:val="nil"/>
            </w:tcBorders>
            <w:vAlign w:val="center"/>
          </w:tcPr>
          <w:p w14:paraId="27B6B589">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895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8"/>
            <w:tcBorders>
              <w:top w:val="nil"/>
              <w:left w:val="nil"/>
              <w:right w:val="nil"/>
            </w:tcBorders>
            <w:vAlign w:val="center"/>
          </w:tcPr>
          <w:p w14:paraId="1D8B0BC6">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3603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5D4A48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5"/>
            <w:tcBorders>
              <w:tl2br w:val="nil"/>
              <w:tr2bl w:val="nil"/>
            </w:tcBorders>
            <w:vAlign w:val="center"/>
          </w:tcPr>
          <w:p w14:paraId="1216DE25">
            <w:pPr>
              <w:jc w:val="center"/>
              <w:rPr>
                <w:rFonts w:ascii="宋体" w:cs="宋体"/>
                <w:sz w:val="20"/>
              </w:rPr>
            </w:pPr>
            <w:r>
              <w:rPr>
                <w:rFonts w:hint="eastAsia" w:ascii="宋体" w:cs="宋体"/>
                <w:sz w:val="20"/>
              </w:rPr>
              <w:t>企业离休人员管理服务费</w:t>
            </w:r>
          </w:p>
        </w:tc>
      </w:tr>
      <w:tr w14:paraId="32EE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4D5513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7DB89C98">
            <w:pPr>
              <w:jc w:val="center"/>
              <w:rPr>
                <w:rFonts w:ascii="宋体" w:cs="宋体"/>
                <w:sz w:val="20"/>
              </w:rPr>
            </w:pPr>
            <w:r>
              <w:rPr>
                <w:rFonts w:hint="eastAsia" w:ascii="宋体" w:cs="宋体"/>
                <w:sz w:val="20"/>
              </w:rPr>
              <w:t>285淮北市</w:t>
            </w:r>
            <w:r>
              <w:rPr>
                <w:rFonts w:hint="eastAsia" w:ascii="宋体" w:cs="宋体"/>
                <w:sz w:val="20"/>
                <w:lang w:val="en-US" w:eastAsia="zh-CN"/>
              </w:rPr>
              <w:t>工业</w:t>
            </w:r>
            <w:r>
              <w:rPr>
                <w:rFonts w:hint="eastAsia" w:ascii="宋体" w:cs="宋体"/>
                <w:sz w:val="20"/>
              </w:rPr>
              <w:t>和信息化局</w:t>
            </w:r>
          </w:p>
        </w:tc>
        <w:tc>
          <w:tcPr>
            <w:tcW w:w="1848" w:type="dxa"/>
            <w:gridSpan w:val="2"/>
            <w:tcBorders>
              <w:tl2br w:val="nil"/>
              <w:tr2bl w:val="nil"/>
            </w:tcBorders>
            <w:vAlign w:val="center"/>
          </w:tcPr>
          <w:p w14:paraId="46B88F23">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3BA5B780">
            <w:pPr>
              <w:jc w:val="center"/>
            </w:pPr>
            <w:r>
              <w:rPr>
                <w:rFonts w:hint="eastAsia"/>
              </w:rPr>
              <w:t>淮北市企业服务中心</w:t>
            </w:r>
          </w:p>
        </w:tc>
      </w:tr>
      <w:tr w14:paraId="3B70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CF054D9">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0EBAA7D9">
            <w:pPr>
              <w:jc w:val="center"/>
              <w:rPr>
                <w:rFonts w:ascii="宋体" w:cs="宋体"/>
                <w:sz w:val="20"/>
              </w:rPr>
            </w:pPr>
            <w:r>
              <w:rPr>
                <w:rFonts w:hint="eastAsia" w:ascii="宋体" w:hAnsi="宋体" w:eastAsia="宋体" w:cs="宋体"/>
                <w:color w:val="000000"/>
                <w:kern w:val="0"/>
                <w:sz w:val="20"/>
                <w:szCs w:val="20"/>
              </w:rPr>
              <w:t>1-本级申报项目</w:t>
            </w:r>
          </w:p>
        </w:tc>
        <w:tc>
          <w:tcPr>
            <w:tcW w:w="1848" w:type="dxa"/>
            <w:gridSpan w:val="2"/>
            <w:tcBorders>
              <w:tl2br w:val="nil"/>
              <w:tr2bl w:val="nil"/>
            </w:tcBorders>
            <w:vAlign w:val="center"/>
          </w:tcPr>
          <w:p w14:paraId="66B10F2A">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47658B1A">
            <w:pPr>
              <w:jc w:val="center"/>
            </w:pPr>
            <w:r>
              <w:rPr>
                <w:rFonts w:hint="eastAsia"/>
              </w:rPr>
              <w:t>202</w:t>
            </w:r>
            <w:r>
              <w:rPr>
                <w:rFonts w:hint="eastAsia"/>
                <w:lang w:val="en-US" w:eastAsia="zh-CN"/>
              </w:rPr>
              <w:t>5</w:t>
            </w:r>
            <w:r>
              <w:rPr>
                <w:rFonts w:hint="eastAsia"/>
              </w:rPr>
              <w:t>年度</w:t>
            </w:r>
          </w:p>
        </w:tc>
      </w:tr>
      <w:tr w14:paraId="7EF7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73657CF">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0E4B6487">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3"/>
            <w:tcBorders>
              <w:tl2br w:val="nil"/>
              <w:tr2bl w:val="nil"/>
            </w:tcBorders>
            <w:vAlign w:val="center"/>
          </w:tcPr>
          <w:p w14:paraId="60B84C7C">
            <w:pPr>
              <w:jc w:val="right"/>
              <w:rPr>
                <w:rFonts w:hint="default" w:ascii="宋体" w:cs="宋体" w:eastAsiaTheme="minorEastAsia"/>
                <w:sz w:val="20"/>
                <w:lang w:val="en-US" w:eastAsia="zh-CN"/>
              </w:rPr>
            </w:pPr>
            <w:r>
              <w:rPr>
                <w:rFonts w:hint="eastAsia" w:ascii="宋体" w:cs="宋体"/>
                <w:sz w:val="20"/>
                <w:lang w:val="en-US" w:eastAsia="zh-CN"/>
              </w:rPr>
              <w:t>2.70</w:t>
            </w:r>
          </w:p>
        </w:tc>
      </w:tr>
      <w:tr w14:paraId="1948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F2D15C2">
            <w:pPr>
              <w:jc w:val="center"/>
              <w:rPr>
                <w:rFonts w:ascii="宋体" w:cs="宋体"/>
                <w:sz w:val="20"/>
              </w:rPr>
            </w:pPr>
          </w:p>
        </w:tc>
        <w:tc>
          <w:tcPr>
            <w:tcW w:w="3349" w:type="dxa"/>
            <w:gridSpan w:val="2"/>
            <w:tcBorders>
              <w:tl2br w:val="nil"/>
              <w:tr2bl w:val="nil"/>
            </w:tcBorders>
            <w:vAlign w:val="center"/>
          </w:tcPr>
          <w:p w14:paraId="2115C0EC">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3"/>
            <w:tcBorders>
              <w:tl2br w:val="nil"/>
              <w:tr2bl w:val="nil"/>
            </w:tcBorders>
            <w:vAlign w:val="center"/>
          </w:tcPr>
          <w:p w14:paraId="6AC78435">
            <w:pPr>
              <w:jc w:val="right"/>
              <w:rPr>
                <w:rFonts w:ascii="宋体" w:cs="宋体"/>
                <w:sz w:val="20"/>
              </w:rPr>
            </w:pPr>
            <w:r>
              <w:rPr>
                <w:rFonts w:hint="eastAsia" w:ascii="宋体" w:cs="宋体"/>
                <w:sz w:val="20"/>
                <w:lang w:val="en-US" w:eastAsia="zh-CN"/>
              </w:rPr>
              <w:t>2.70</w:t>
            </w:r>
          </w:p>
        </w:tc>
      </w:tr>
      <w:tr w14:paraId="5A1E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97F9B09">
            <w:pPr>
              <w:jc w:val="center"/>
              <w:rPr>
                <w:rFonts w:ascii="宋体" w:cs="宋体"/>
                <w:sz w:val="20"/>
              </w:rPr>
            </w:pPr>
          </w:p>
        </w:tc>
        <w:tc>
          <w:tcPr>
            <w:tcW w:w="3349" w:type="dxa"/>
            <w:gridSpan w:val="2"/>
            <w:tcBorders>
              <w:tl2br w:val="nil"/>
              <w:tr2bl w:val="nil"/>
            </w:tcBorders>
            <w:vAlign w:val="center"/>
          </w:tcPr>
          <w:p w14:paraId="6B7CACCB">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3"/>
            <w:tcBorders>
              <w:tl2br w:val="nil"/>
              <w:tr2bl w:val="nil"/>
            </w:tcBorders>
            <w:vAlign w:val="center"/>
          </w:tcPr>
          <w:p w14:paraId="6DD40F04">
            <w:pPr>
              <w:jc w:val="center"/>
              <w:rPr>
                <w:rFonts w:ascii="宋体" w:cs="宋体"/>
                <w:sz w:val="20"/>
              </w:rPr>
            </w:pPr>
          </w:p>
        </w:tc>
      </w:tr>
      <w:tr w14:paraId="2A71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9CE6D94">
            <w:pPr>
              <w:jc w:val="center"/>
              <w:rPr>
                <w:rFonts w:ascii="宋体" w:cs="宋体"/>
                <w:sz w:val="20"/>
              </w:rPr>
            </w:pPr>
          </w:p>
        </w:tc>
        <w:tc>
          <w:tcPr>
            <w:tcW w:w="3349" w:type="dxa"/>
            <w:gridSpan w:val="2"/>
            <w:tcBorders>
              <w:tl2br w:val="nil"/>
              <w:tr2bl w:val="nil"/>
            </w:tcBorders>
            <w:vAlign w:val="center"/>
          </w:tcPr>
          <w:p w14:paraId="2874D5F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3"/>
            <w:tcBorders>
              <w:tl2br w:val="nil"/>
              <w:tr2bl w:val="nil"/>
            </w:tcBorders>
            <w:vAlign w:val="center"/>
          </w:tcPr>
          <w:p w14:paraId="53E2CE1E">
            <w:pPr>
              <w:jc w:val="right"/>
              <w:rPr>
                <w:rFonts w:ascii="宋体" w:cs="宋体"/>
                <w:sz w:val="20"/>
              </w:rPr>
            </w:pPr>
          </w:p>
        </w:tc>
      </w:tr>
      <w:tr w14:paraId="7097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42EA7B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7"/>
            <w:tcBorders>
              <w:tl2br w:val="nil"/>
              <w:tr2bl w:val="nil"/>
            </w:tcBorders>
            <w:vAlign w:val="center"/>
          </w:tcPr>
          <w:p w14:paraId="56AFC099">
            <w:pPr>
              <w:jc w:val="left"/>
              <w:rPr>
                <w:rFonts w:ascii="宋体" w:cs="宋体"/>
                <w:sz w:val="20"/>
              </w:rPr>
            </w:pPr>
            <w:r>
              <w:rPr>
                <w:rFonts w:hint="eastAsia" w:ascii="宋体" w:hAnsi="宋体" w:eastAsia="宋体" w:cs="宋体"/>
                <w:color w:val="000000"/>
                <w:kern w:val="0"/>
                <w:sz w:val="20"/>
                <w:szCs w:val="20"/>
              </w:rPr>
              <w:t>保障原破产企业离休人员慰问金、过节费、书报费等补贴发放。</w:t>
            </w:r>
          </w:p>
        </w:tc>
      </w:tr>
      <w:tr w14:paraId="20A9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AD80075">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0B882A4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847" w:type="dxa"/>
            <w:gridSpan w:val="2"/>
            <w:tcBorders>
              <w:tl2br w:val="nil"/>
              <w:tr2bl w:val="nil"/>
            </w:tcBorders>
            <w:vAlign w:val="center"/>
          </w:tcPr>
          <w:p w14:paraId="2C2CEEB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426" w:type="dxa"/>
            <w:gridSpan w:val="2"/>
            <w:tcBorders>
              <w:tl2br w:val="nil"/>
              <w:tr2bl w:val="nil"/>
            </w:tcBorders>
            <w:vAlign w:val="center"/>
          </w:tcPr>
          <w:p w14:paraId="08F13C0D">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3586" w:type="dxa"/>
            <w:gridSpan w:val="2"/>
            <w:tcBorders>
              <w:tl2br w:val="nil"/>
              <w:tr2bl w:val="nil"/>
            </w:tcBorders>
            <w:vAlign w:val="center"/>
          </w:tcPr>
          <w:p w14:paraId="65488266">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87BC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38" w:type="dxa"/>
            <w:vMerge w:val="continue"/>
            <w:tcBorders>
              <w:tl2br w:val="nil"/>
              <w:tr2bl w:val="nil"/>
            </w:tcBorders>
            <w:vAlign w:val="center"/>
          </w:tcPr>
          <w:p w14:paraId="6704429F">
            <w:pPr>
              <w:jc w:val="center"/>
              <w:rPr>
                <w:rFonts w:ascii="宋体" w:cs="宋体"/>
                <w:sz w:val="20"/>
              </w:rPr>
            </w:pPr>
          </w:p>
        </w:tc>
        <w:tc>
          <w:tcPr>
            <w:tcW w:w="723" w:type="dxa"/>
            <w:vMerge w:val="restart"/>
            <w:tcBorders>
              <w:tl2br w:val="nil"/>
              <w:tr2bl w:val="nil"/>
            </w:tcBorders>
            <w:vAlign w:val="center"/>
          </w:tcPr>
          <w:p w14:paraId="42A5F843">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1847" w:type="dxa"/>
            <w:gridSpan w:val="2"/>
            <w:tcBorders>
              <w:tl2br w:val="nil"/>
              <w:tr2bl w:val="nil"/>
            </w:tcBorders>
            <w:vAlign w:val="center"/>
          </w:tcPr>
          <w:p w14:paraId="3134B23D">
            <w:pPr>
              <w:widowControl/>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426" w:type="dxa"/>
            <w:gridSpan w:val="2"/>
            <w:tcBorders>
              <w:tl2br w:val="nil"/>
              <w:tr2bl w:val="nil"/>
            </w:tcBorders>
            <w:vAlign w:val="center"/>
          </w:tcPr>
          <w:p w14:paraId="4E3EDDB9">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慰问次数</w:t>
            </w:r>
          </w:p>
        </w:tc>
        <w:tc>
          <w:tcPr>
            <w:tcW w:w="3586" w:type="dxa"/>
            <w:gridSpan w:val="2"/>
            <w:tcBorders>
              <w:tl2br w:val="nil"/>
              <w:tr2bl w:val="nil"/>
            </w:tcBorders>
            <w:vAlign w:val="center"/>
          </w:tcPr>
          <w:p w14:paraId="4C8D111A">
            <w:pPr>
              <w:widowControl/>
              <w:jc w:val="center"/>
              <w:textAlignment w:val="center"/>
              <w:rPr>
                <w:rFonts w:hint="default" w:ascii="宋体" w:cs="宋体" w:eastAsiaTheme="minorEastAsia"/>
                <w:sz w:val="20"/>
                <w:lang w:val="en-US" w:eastAsia="zh-CN"/>
              </w:rPr>
            </w:pPr>
            <w:r>
              <w:rPr>
                <w:rFonts w:hint="eastAsia" w:ascii="宋体" w:hAnsi="宋体" w:eastAsia="宋体" w:cs="宋体"/>
                <w:color w:val="000000"/>
                <w:kern w:val="0"/>
                <w:sz w:val="20"/>
                <w:szCs w:val="20"/>
              </w:rPr>
              <w:t>≥1</w:t>
            </w:r>
          </w:p>
        </w:tc>
      </w:tr>
      <w:tr w14:paraId="30A9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38" w:type="dxa"/>
            <w:vMerge w:val="continue"/>
            <w:tcBorders>
              <w:tl2br w:val="nil"/>
              <w:tr2bl w:val="nil"/>
            </w:tcBorders>
            <w:vAlign w:val="center"/>
          </w:tcPr>
          <w:p w14:paraId="139B10B1">
            <w:pPr>
              <w:jc w:val="center"/>
              <w:rPr>
                <w:rFonts w:ascii="宋体" w:cs="宋体"/>
                <w:sz w:val="20"/>
              </w:rPr>
            </w:pPr>
          </w:p>
        </w:tc>
        <w:tc>
          <w:tcPr>
            <w:tcW w:w="723" w:type="dxa"/>
            <w:vMerge w:val="continue"/>
            <w:tcBorders>
              <w:tl2br w:val="nil"/>
              <w:tr2bl w:val="nil"/>
            </w:tcBorders>
            <w:vAlign w:val="center"/>
          </w:tcPr>
          <w:p w14:paraId="1C9A358B">
            <w:pPr>
              <w:jc w:val="center"/>
              <w:rPr>
                <w:rFonts w:ascii="宋体" w:cs="宋体"/>
                <w:sz w:val="20"/>
              </w:rPr>
            </w:pPr>
          </w:p>
        </w:tc>
        <w:tc>
          <w:tcPr>
            <w:tcW w:w="1847" w:type="dxa"/>
            <w:gridSpan w:val="2"/>
            <w:tcBorders>
              <w:tl2br w:val="nil"/>
              <w:tr2bl w:val="nil"/>
            </w:tcBorders>
            <w:vAlign w:val="center"/>
          </w:tcPr>
          <w:p w14:paraId="5B139480">
            <w:pPr>
              <w:widowControl/>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426" w:type="dxa"/>
            <w:gridSpan w:val="2"/>
            <w:tcBorders>
              <w:tl2br w:val="nil"/>
              <w:tr2bl w:val="nil"/>
            </w:tcBorders>
            <w:vAlign w:val="center"/>
          </w:tcPr>
          <w:p w14:paraId="5F2BA9E2">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经费使用合规性</w:t>
            </w:r>
          </w:p>
        </w:tc>
        <w:tc>
          <w:tcPr>
            <w:tcW w:w="3586" w:type="dxa"/>
            <w:gridSpan w:val="2"/>
            <w:tcBorders>
              <w:tl2br w:val="nil"/>
              <w:tr2bl w:val="nil"/>
            </w:tcBorders>
            <w:vAlign w:val="center"/>
          </w:tcPr>
          <w:p w14:paraId="52FCE5EC">
            <w:pPr>
              <w:widowControl/>
              <w:jc w:val="center"/>
              <w:textAlignment w:val="center"/>
              <w:rPr>
                <w:rFonts w:ascii="宋体" w:cs="宋体"/>
                <w:sz w:val="20"/>
              </w:rPr>
            </w:pPr>
            <w:r>
              <w:rPr>
                <w:rFonts w:hint="eastAsia" w:ascii="宋体" w:hAnsi="宋体" w:eastAsia="宋体" w:cs="宋体"/>
                <w:color w:val="000000"/>
                <w:sz w:val="20"/>
                <w:szCs w:val="20"/>
              </w:rPr>
              <w:t>严格执行相关法律法规</w:t>
            </w:r>
          </w:p>
        </w:tc>
      </w:tr>
      <w:tr w14:paraId="50A2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38" w:type="dxa"/>
            <w:vMerge w:val="continue"/>
            <w:tcBorders>
              <w:tl2br w:val="nil"/>
              <w:tr2bl w:val="nil"/>
            </w:tcBorders>
            <w:vAlign w:val="center"/>
          </w:tcPr>
          <w:p w14:paraId="69F86B4E">
            <w:pPr>
              <w:jc w:val="center"/>
              <w:rPr>
                <w:rFonts w:ascii="宋体" w:cs="宋体"/>
                <w:sz w:val="20"/>
              </w:rPr>
            </w:pPr>
          </w:p>
        </w:tc>
        <w:tc>
          <w:tcPr>
            <w:tcW w:w="723" w:type="dxa"/>
            <w:vMerge w:val="continue"/>
            <w:tcBorders>
              <w:tl2br w:val="nil"/>
              <w:tr2bl w:val="nil"/>
            </w:tcBorders>
            <w:vAlign w:val="center"/>
          </w:tcPr>
          <w:p w14:paraId="607494E9">
            <w:pPr>
              <w:jc w:val="center"/>
              <w:rPr>
                <w:rFonts w:ascii="宋体" w:cs="宋体"/>
                <w:sz w:val="20"/>
              </w:rPr>
            </w:pPr>
          </w:p>
        </w:tc>
        <w:tc>
          <w:tcPr>
            <w:tcW w:w="1847" w:type="dxa"/>
            <w:gridSpan w:val="2"/>
            <w:tcBorders>
              <w:tl2br w:val="nil"/>
              <w:tr2bl w:val="nil"/>
            </w:tcBorders>
            <w:vAlign w:val="center"/>
          </w:tcPr>
          <w:p w14:paraId="0DDA6565">
            <w:pPr>
              <w:widowControl/>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426" w:type="dxa"/>
            <w:gridSpan w:val="2"/>
            <w:tcBorders>
              <w:tl2br w:val="nil"/>
              <w:tr2bl w:val="nil"/>
            </w:tcBorders>
            <w:vAlign w:val="center"/>
          </w:tcPr>
          <w:p w14:paraId="529777C8">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经费支出时效性</w:t>
            </w:r>
          </w:p>
        </w:tc>
        <w:tc>
          <w:tcPr>
            <w:tcW w:w="3586" w:type="dxa"/>
            <w:gridSpan w:val="2"/>
            <w:tcBorders>
              <w:tl2br w:val="nil"/>
              <w:tr2bl w:val="nil"/>
            </w:tcBorders>
            <w:vAlign w:val="center"/>
          </w:tcPr>
          <w:p w14:paraId="4CA8F7BB">
            <w:pPr>
              <w:widowControl/>
              <w:jc w:val="center"/>
              <w:textAlignment w:val="center"/>
              <w:rPr>
                <w:rFonts w:ascii="宋体" w:cs="宋体"/>
                <w:sz w:val="20"/>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年度</w:t>
            </w:r>
          </w:p>
        </w:tc>
      </w:tr>
      <w:tr w14:paraId="4FE1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8" w:type="dxa"/>
            <w:vMerge w:val="continue"/>
            <w:tcBorders>
              <w:tl2br w:val="nil"/>
              <w:tr2bl w:val="nil"/>
            </w:tcBorders>
            <w:vAlign w:val="center"/>
          </w:tcPr>
          <w:p w14:paraId="5EB08312">
            <w:pPr>
              <w:jc w:val="center"/>
              <w:rPr>
                <w:rFonts w:ascii="宋体" w:cs="宋体"/>
                <w:sz w:val="20"/>
              </w:rPr>
            </w:pPr>
          </w:p>
        </w:tc>
        <w:tc>
          <w:tcPr>
            <w:tcW w:w="723" w:type="dxa"/>
            <w:vMerge w:val="continue"/>
            <w:tcBorders>
              <w:tl2br w:val="nil"/>
              <w:tr2bl w:val="nil"/>
            </w:tcBorders>
            <w:vAlign w:val="center"/>
          </w:tcPr>
          <w:p w14:paraId="236BBC4B">
            <w:pPr>
              <w:jc w:val="center"/>
              <w:rPr>
                <w:rFonts w:ascii="宋体" w:cs="宋体"/>
                <w:sz w:val="20"/>
              </w:rPr>
            </w:pPr>
          </w:p>
        </w:tc>
        <w:tc>
          <w:tcPr>
            <w:tcW w:w="1847" w:type="dxa"/>
            <w:gridSpan w:val="2"/>
            <w:tcBorders>
              <w:tl2br w:val="nil"/>
              <w:tr2bl w:val="nil"/>
            </w:tcBorders>
            <w:vAlign w:val="center"/>
          </w:tcPr>
          <w:p w14:paraId="7982798A">
            <w:pPr>
              <w:widowControl/>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426" w:type="dxa"/>
            <w:gridSpan w:val="2"/>
            <w:tcBorders>
              <w:tl2br w:val="nil"/>
              <w:tr2bl w:val="nil"/>
            </w:tcBorders>
            <w:vAlign w:val="center"/>
          </w:tcPr>
          <w:p w14:paraId="7E58709F">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成本总额</w:t>
            </w:r>
          </w:p>
        </w:tc>
        <w:tc>
          <w:tcPr>
            <w:tcW w:w="3586" w:type="dxa"/>
            <w:gridSpan w:val="2"/>
            <w:tcBorders>
              <w:tl2br w:val="nil"/>
              <w:tr2bl w:val="nil"/>
            </w:tcBorders>
            <w:vAlign w:val="center"/>
          </w:tcPr>
          <w:p w14:paraId="14277D40">
            <w:pPr>
              <w:widowControl/>
              <w:jc w:val="center"/>
              <w:textAlignment w:val="center"/>
              <w:rPr>
                <w:rFonts w:ascii="宋体" w:cs="宋体"/>
                <w:sz w:val="20"/>
              </w:rPr>
            </w:pP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2.7</w:t>
            </w:r>
            <w:r>
              <w:rPr>
                <w:rFonts w:hint="eastAsia" w:ascii="宋体" w:hAnsi="宋体" w:eastAsia="宋体" w:cs="宋体"/>
                <w:color w:val="000000"/>
                <w:kern w:val="0"/>
                <w:sz w:val="20"/>
                <w:szCs w:val="20"/>
              </w:rPr>
              <w:t>万元</w:t>
            </w:r>
          </w:p>
        </w:tc>
      </w:tr>
      <w:tr w14:paraId="44BC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38" w:type="dxa"/>
            <w:vMerge w:val="continue"/>
            <w:tcBorders>
              <w:tl2br w:val="nil"/>
              <w:tr2bl w:val="nil"/>
            </w:tcBorders>
            <w:vAlign w:val="center"/>
          </w:tcPr>
          <w:p w14:paraId="6062DDE8">
            <w:pPr>
              <w:jc w:val="center"/>
              <w:rPr>
                <w:rFonts w:ascii="宋体" w:cs="宋体"/>
                <w:sz w:val="20"/>
              </w:rPr>
            </w:pPr>
          </w:p>
        </w:tc>
        <w:tc>
          <w:tcPr>
            <w:tcW w:w="723" w:type="dxa"/>
            <w:vMerge w:val="restart"/>
            <w:tcBorders>
              <w:tl2br w:val="nil"/>
              <w:tr2bl w:val="nil"/>
            </w:tcBorders>
            <w:vAlign w:val="center"/>
          </w:tcPr>
          <w:p w14:paraId="5F606510">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1847" w:type="dxa"/>
            <w:gridSpan w:val="2"/>
            <w:tcBorders>
              <w:tl2br w:val="nil"/>
              <w:tr2bl w:val="nil"/>
            </w:tcBorders>
            <w:vAlign w:val="center"/>
          </w:tcPr>
          <w:p w14:paraId="2155A4A8">
            <w:pPr>
              <w:widowControl/>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426" w:type="dxa"/>
            <w:gridSpan w:val="2"/>
            <w:tcBorders>
              <w:tl2br w:val="nil"/>
              <w:tr2bl w:val="nil"/>
            </w:tcBorders>
            <w:vAlign w:val="center"/>
          </w:tcPr>
          <w:p w14:paraId="17CF1874">
            <w:pPr>
              <w:widowControl/>
              <w:jc w:val="center"/>
              <w:textAlignment w:val="center"/>
              <w:rPr>
                <w:rFonts w:ascii="宋体" w:hAnsi="宋体" w:eastAsia="宋体" w:cs="宋体"/>
                <w:color w:val="000000"/>
                <w:kern w:val="0"/>
                <w:sz w:val="20"/>
                <w:szCs w:val="20"/>
              </w:rPr>
            </w:pPr>
            <w:r>
              <w:rPr>
                <w:rFonts w:ascii="宋体" w:hAnsi="宋体" w:eastAsia="宋体" w:cs="宋体"/>
                <w:color w:val="000000"/>
                <w:kern w:val="0"/>
                <w:sz w:val="20"/>
                <w:szCs w:val="20"/>
              </w:rPr>
              <w:br w:type="textWrapping"/>
            </w:r>
            <w:r>
              <w:rPr>
                <w:rFonts w:ascii="宋体" w:hAnsi="宋体" w:eastAsia="宋体" w:cs="宋体"/>
                <w:color w:val="000000"/>
                <w:kern w:val="0"/>
                <w:sz w:val="20"/>
                <w:szCs w:val="20"/>
              </w:rPr>
              <w:t>保障离休干部工作的开展</w:t>
            </w:r>
          </w:p>
        </w:tc>
        <w:tc>
          <w:tcPr>
            <w:tcW w:w="3586" w:type="dxa"/>
            <w:gridSpan w:val="2"/>
            <w:tcBorders>
              <w:tl2br w:val="nil"/>
              <w:tr2bl w:val="nil"/>
            </w:tcBorders>
            <w:vAlign w:val="center"/>
          </w:tcPr>
          <w:p w14:paraId="0075C7DC">
            <w:pPr>
              <w:widowControl/>
              <w:jc w:val="center"/>
              <w:textAlignment w:val="center"/>
              <w:rPr>
                <w:rFonts w:ascii="宋体" w:cs="宋体"/>
                <w:sz w:val="20"/>
              </w:rPr>
            </w:pPr>
            <w:r>
              <w:rPr>
                <w:rFonts w:hint="eastAsia"/>
              </w:rPr>
              <w:t>较高</w:t>
            </w:r>
          </w:p>
        </w:tc>
      </w:tr>
      <w:tr w14:paraId="6ECA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38" w:type="dxa"/>
            <w:vMerge w:val="continue"/>
            <w:tcBorders>
              <w:tl2br w:val="nil"/>
              <w:tr2bl w:val="nil"/>
            </w:tcBorders>
            <w:vAlign w:val="center"/>
          </w:tcPr>
          <w:p w14:paraId="0B9D93B0">
            <w:pPr>
              <w:jc w:val="center"/>
              <w:rPr>
                <w:rFonts w:ascii="宋体" w:cs="宋体"/>
                <w:sz w:val="20"/>
              </w:rPr>
            </w:pPr>
          </w:p>
        </w:tc>
        <w:tc>
          <w:tcPr>
            <w:tcW w:w="723" w:type="dxa"/>
            <w:vMerge w:val="continue"/>
            <w:tcBorders>
              <w:tl2br w:val="nil"/>
              <w:tr2bl w:val="nil"/>
            </w:tcBorders>
            <w:vAlign w:val="center"/>
          </w:tcPr>
          <w:p w14:paraId="50AA0B1D">
            <w:pPr>
              <w:jc w:val="center"/>
              <w:rPr>
                <w:rFonts w:ascii="宋体" w:cs="宋体"/>
                <w:sz w:val="20"/>
              </w:rPr>
            </w:pPr>
          </w:p>
        </w:tc>
        <w:tc>
          <w:tcPr>
            <w:tcW w:w="1847" w:type="dxa"/>
            <w:gridSpan w:val="2"/>
            <w:tcBorders>
              <w:tl2br w:val="nil"/>
              <w:tr2bl w:val="nil"/>
            </w:tcBorders>
            <w:vAlign w:val="center"/>
          </w:tcPr>
          <w:p w14:paraId="718CDA61">
            <w:pPr>
              <w:widowControl/>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426" w:type="dxa"/>
            <w:gridSpan w:val="2"/>
            <w:tcBorders>
              <w:tl2br w:val="nil"/>
              <w:tr2bl w:val="nil"/>
            </w:tcBorders>
            <w:vAlign w:val="center"/>
          </w:tcPr>
          <w:p w14:paraId="69860886">
            <w:pPr>
              <w:widowControl/>
              <w:jc w:val="center"/>
              <w:textAlignment w:val="center"/>
              <w:rPr>
                <w:rFonts w:ascii="宋体" w:hAnsi="宋体" w:eastAsia="宋体" w:cs="宋体"/>
                <w:color w:val="000000"/>
                <w:kern w:val="0"/>
                <w:sz w:val="20"/>
                <w:szCs w:val="20"/>
              </w:rPr>
            </w:pPr>
            <w:r>
              <w:rPr>
                <w:rFonts w:ascii="宋体" w:hAnsi="宋体" w:eastAsia="宋体" w:cs="宋体"/>
                <w:color w:val="000000"/>
                <w:kern w:val="0"/>
                <w:sz w:val="20"/>
                <w:szCs w:val="20"/>
              </w:rPr>
              <w:t>稳定离休人员</w:t>
            </w:r>
          </w:p>
        </w:tc>
        <w:tc>
          <w:tcPr>
            <w:tcW w:w="3586" w:type="dxa"/>
            <w:gridSpan w:val="2"/>
            <w:tcBorders>
              <w:tl2br w:val="nil"/>
              <w:tr2bl w:val="nil"/>
            </w:tcBorders>
            <w:vAlign w:val="center"/>
          </w:tcPr>
          <w:p w14:paraId="10EA6AF7">
            <w:pPr>
              <w:widowControl/>
              <w:jc w:val="center"/>
              <w:textAlignment w:val="center"/>
              <w:rPr>
                <w:rFonts w:ascii="宋体" w:cs="宋体"/>
                <w:sz w:val="20"/>
              </w:rPr>
            </w:pPr>
            <w:r>
              <w:rPr>
                <w:rFonts w:hint="eastAsia"/>
              </w:rPr>
              <w:t>较高</w:t>
            </w:r>
          </w:p>
        </w:tc>
      </w:tr>
      <w:tr w14:paraId="3DA9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38" w:type="dxa"/>
            <w:vMerge w:val="continue"/>
            <w:tcBorders>
              <w:tl2br w:val="nil"/>
              <w:tr2bl w:val="nil"/>
            </w:tcBorders>
            <w:vAlign w:val="center"/>
          </w:tcPr>
          <w:p w14:paraId="1D094AC9">
            <w:pPr>
              <w:jc w:val="center"/>
              <w:rPr>
                <w:rFonts w:ascii="宋体" w:cs="宋体"/>
                <w:sz w:val="20"/>
              </w:rPr>
            </w:pPr>
          </w:p>
        </w:tc>
        <w:tc>
          <w:tcPr>
            <w:tcW w:w="723" w:type="dxa"/>
            <w:vMerge w:val="continue"/>
            <w:tcBorders>
              <w:tl2br w:val="nil"/>
              <w:tr2bl w:val="nil"/>
            </w:tcBorders>
            <w:vAlign w:val="center"/>
          </w:tcPr>
          <w:p w14:paraId="61A60EBF">
            <w:pPr>
              <w:jc w:val="center"/>
              <w:rPr>
                <w:rFonts w:ascii="宋体" w:cs="宋体"/>
                <w:sz w:val="20"/>
              </w:rPr>
            </w:pPr>
          </w:p>
        </w:tc>
        <w:tc>
          <w:tcPr>
            <w:tcW w:w="1847" w:type="dxa"/>
            <w:gridSpan w:val="2"/>
            <w:tcBorders>
              <w:tl2br w:val="nil"/>
              <w:tr2bl w:val="nil"/>
            </w:tcBorders>
            <w:vAlign w:val="center"/>
          </w:tcPr>
          <w:p w14:paraId="61166711">
            <w:pPr>
              <w:widowControl/>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426" w:type="dxa"/>
            <w:gridSpan w:val="2"/>
            <w:tcBorders>
              <w:tl2br w:val="nil"/>
              <w:tr2bl w:val="nil"/>
            </w:tcBorders>
            <w:vAlign w:val="center"/>
          </w:tcPr>
          <w:p w14:paraId="5DC1A800">
            <w:pPr>
              <w:widowControl/>
              <w:jc w:val="center"/>
              <w:textAlignment w:val="center"/>
              <w:rPr>
                <w:rFonts w:ascii="宋体" w:hAnsi="宋体" w:eastAsia="宋体" w:cs="宋体"/>
                <w:color w:val="000000"/>
                <w:kern w:val="0"/>
                <w:sz w:val="20"/>
                <w:szCs w:val="20"/>
              </w:rPr>
            </w:pPr>
            <w:r>
              <w:rPr>
                <w:rFonts w:ascii="宋体" w:hAnsi="宋体" w:eastAsia="宋体" w:cs="宋体"/>
                <w:color w:val="000000"/>
                <w:kern w:val="0"/>
                <w:sz w:val="20"/>
                <w:szCs w:val="20"/>
              </w:rPr>
              <w:t>节约水电</w:t>
            </w:r>
          </w:p>
        </w:tc>
        <w:tc>
          <w:tcPr>
            <w:tcW w:w="3586" w:type="dxa"/>
            <w:gridSpan w:val="2"/>
            <w:tcBorders>
              <w:tl2br w:val="nil"/>
              <w:tr2bl w:val="nil"/>
            </w:tcBorders>
            <w:vAlign w:val="center"/>
          </w:tcPr>
          <w:p w14:paraId="42DCB5C6">
            <w:pPr>
              <w:widowControl/>
              <w:jc w:val="center"/>
              <w:textAlignment w:val="center"/>
              <w:rPr>
                <w:rFonts w:ascii="宋体" w:cs="宋体"/>
                <w:sz w:val="20"/>
              </w:rPr>
            </w:pPr>
            <w:r>
              <w:rPr>
                <w:rFonts w:hint="eastAsia"/>
              </w:rPr>
              <w:t>较高</w:t>
            </w:r>
          </w:p>
        </w:tc>
      </w:tr>
      <w:tr w14:paraId="72C7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6295B292">
            <w:pPr>
              <w:jc w:val="center"/>
              <w:rPr>
                <w:rFonts w:ascii="宋体" w:cs="宋体"/>
                <w:sz w:val="20"/>
              </w:rPr>
            </w:pPr>
          </w:p>
        </w:tc>
        <w:tc>
          <w:tcPr>
            <w:tcW w:w="723" w:type="dxa"/>
            <w:vMerge w:val="continue"/>
            <w:tcBorders>
              <w:tl2br w:val="nil"/>
              <w:tr2bl w:val="nil"/>
            </w:tcBorders>
            <w:vAlign w:val="center"/>
          </w:tcPr>
          <w:p w14:paraId="35AE71C6">
            <w:pPr>
              <w:jc w:val="center"/>
              <w:rPr>
                <w:rFonts w:ascii="宋体" w:cs="宋体"/>
                <w:sz w:val="20"/>
              </w:rPr>
            </w:pPr>
          </w:p>
        </w:tc>
        <w:tc>
          <w:tcPr>
            <w:tcW w:w="1847" w:type="dxa"/>
            <w:gridSpan w:val="2"/>
            <w:tcBorders>
              <w:tl2br w:val="nil"/>
              <w:tr2bl w:val="nil"/>
            </w:tcBorders>
            <w:vAlign w:val="center"/>
          </w:tcPr>
          <w:p w14:paraId="125F04E3">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可持续影响指标</w:t>
            </w:r>
          </w:p>
        </w:tc>
        <w:tc>
          <w:tcPr>
            <w:tcW w:w="2426" w:type="dxa"/>
            <w:gridSpan w:val="2"/>
            <w:tcBorders>
              <w:tl2br w:val="nil"/>
              <w:tr2bl w:val="nil"/>
            </w:tcBorders>
            <w:vAlign w:val="center"/>
          </w:tcPr>
          <w:p w14:paraId="679F0647">
            <w:pPr>
              <w:widowControl/>
              <w:jc w:val="center"/>
              <w:textAlignment w:val="center"/>
              <w:rPr>
                <w:rFonts w:ascii="宋体" w:hAnsi="宋体" w:eastAsia="宋体" w:cs="宋体"/>
                <w:color w:val="000000"/>
                <w:kern w:val="0"/>
                <w:sz w:val="20"/>
                <w:szCs w:val="20"/>
              </w:rPr>
            </w:pPr>
            <w:r>
              <w:rPr>
                <w:rFonts w:ascii="宋体" w:hAnsi="宋体" w:eastAsia="宋体" w:cs="宋体"/>
                <w:color w:val="000000"/>
                <w:kern w:val="0"/>
                <w:sz w:val="20"/>
                <w:szCs w:val="20"/>
              </w:rPr>
              <w:t>对离休人员的可持续影响</w:t>
            </w:r>
          </w:p>
        </w:tc>
        <w:tc>
          <w:tcPr>
            <w:tcW w:w="3586" w:type="dxa"/>
            <w:gridSpan w:val="2"/>
            <w:tcBorders>
              <w:tl2br w:val="nil"/>
              <w:tr2bl w:val="nil"/>
            </w:tcBorders>
            <w:vAlign w:val="center"/>
          </w:tcPr>
          <w:p w14:paraId="3BA6B06F">
            <w:pPr>
              <w:widowControl/>
              <w:jc w:val="center"/>
              <w:textAlignment w:val="center"/>
              <w:rPr>
                <w:rFonts w:ascii="宋体" w:cs="宋体"/>
                <w:sz w:val="20"/>
              </w:rPr>
            </w:pPr>
            <w:r>
              <w:rPr>
                <w:rFonts w:hint="eastAsia"/>
              </w:rPr>
              <w:t>较高</w:t>
            </w:r>
          </w:p>
        </w:tc>
      </w:tr>
      <w:tr w14:paraId="536C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4DFFA46">
            <w:pPr>
              <w:jc w:val="center"/>
              <w:rPr>
                <w:rFonts w:ascii="宋体" w:cs="宋体"/>
                <w:sz w:val="20"/>
              </w:rPr>
            </w:pPr>
          </w:p>
        </w:tc>
        <w:tc>
          <w:tcPr>
            <w:tcW w:w="723" w:type="dxa"/>
            <w:tcBorders>
              <w:tl2br w:val="nil"/>
              <w:tr2bl w:val="nil"/>
            </w:tcBorders>
            <w:vAlign w:val="center"/>
          </w:tcPr>
          <w:p w14:paraId="0F1C8246">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1847" w:type="dxa"/>
            <w:gridSpan w:val="2"/>
            <w:tcBorders>
              <w:tl2br w:val="nil"/>
              <w:tr2bl w:val="nil"/>
            </w:tcBorders>
            <w:vAlign w:val="center"/>
          </w:tcPr>
          <w:p w14:paraId="5148FF7B">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满意度指标</w:t>
            </w:r>
          </w:p>
        </w:tc>
        <w:tc>
          <w:tcPr>
            <w:tcW w:w="2426" w:type="dxa"/>
            <w:gridSpan w:val="2"/>
            <w:tcBorders>
              <w:tl2br w:val="nil"/>
              <w:tr2bl w:val="nil"/>
            </w:tcBorders>
            <w:vAlign w:val="center"/>
          </w:tcPr>
          <w:p w14:paraId="73B34828">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社会满意度</w:t>
            </w:r>
          </w:p>
        </w:tc>
        <w:tc>
          <w:tcPr>
            <w:tcW w:w="3586" w:type="dxa"/>
            <w:gridSpan w:val="2"/>
            <w:tcBorders>
              <w:tl2br w:val="nil"/>
              <w:tr2bl w:val="nil"/>
            </w:tcBorders>
            <w:vAlign w:val="center"/>
          </w:tcPr>
          <w:p w14:paraId="79C885E5">
            <w:pPr>
              <w:widowControl/>
              <w:jc w:val="center"/>
              <w:textAlignment w:val="center"/>
              <w:rPr>
                <w:rFonts w:ascii="宋体" w:cs="宋体"/>
                <w:sz w:val="20"/>
              </w:rPr>
            </w:pPr>
            <w:r>
              <w:rPr>
                <w:rFonts w:hint="eastAsia" w:ascii="宋体" w:hAnsi="宋体" w:eastAsia="宋体" w:cs="宋体"/>
                <w:color w:val="000000"/>
                <w:kern w:val="0"/>
                <w:sz w:val="20"/>
                <w:szCs w:val="20"/>
              </w:rPr>
              <w:t>≥95%</w:t>
            </w:r>
          </w:p>
        </w:tc>
      </w:tr>
    </w:tbl>
    <w:p w14:paraId="78D4F0D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、“办公大楼运行等工作经费”项目。</w:t>
      </w:r>
    </w:p>
    <w:p w14:paraId="63C4911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（1）项目概述。按照市政府统一安排,我局于2022年搬至市招商大厦办公, 办公用房为招商大厦4层，水电及保洁及网络使用费均由我单位自付。</w:t>
      </w:r>
    </w:p>
    <w:p w14:paraId="5A01136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（2）立项依据。按照市政府统一安排,我局于2022年搬至市招商大厦办公, 办公用房为招商大厦4层，水电及保洁及网络使用费均由我单位自付。</w:t>
      </w:r>
    </w:p>
    <w:p w14:paraId="343ADC5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（3）实施主体。淮北市企业服务中心</w:t>
      </w:r>
    </w:p>
    <w:p w14:paraId="0964834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仿宋_GB2312" w:eastAsia="仿宋_GB2312"/>
          <w:sz w:val="32"/>
          <w:szCs w:val="32"/>
        </w:rPr>
        <w:t>年</w:t>
      </w:r>
      <w:r>
        <w:rPr>
          <w:rFonts w:hint="eastAsia" w:ascii="TimesNewRoman" w:hAnsi="TimesNewRoman" w:eastAsia="仿宋_GB2312" w:cs="TimesNewRoman"/>
          <w:kern w:val="0"/>
          <w:sz w:val="32"/>
          <w:szCs w:val="32"/>
        </w:rPr>
        <w:t>1</w:t>
      </w:r>
      <w:r>
        <w:rPr>
          <w:rFonts w:hint="eastAsia" w:ascii="仿宋_GB2312" w:eastAsia="仿宋_GB2312"/>
          <w:sz w:val="32"/>
          <w:szCs w:val="32"/>
        </w:rPr>
        <w:t>-</w:t>
      </w:r>
      <w:r>
        <w:rPr>
          <w:rFonts w:hint="eastAsia" w:ascii="TimesNewRoman" w:hAnsi="TimesNewRoman" w:eastAsia="仿宋_GB2312" w:cs="TimesNewRoman"/>
          <w:kern w:val="0"/>
          <w:sz w:val="32"/>
          <w:szCs w:val="32"/>
        </w:rPr>
        <w:t>12</w:t>
      </w:r>
      <w:r>
        <w:rPr>
          <w:rFonts w:hint="eastAsia" w:ascii="仿宋_GB2312" w:eastAsia="仿宋_GB2312"/>
          <w:sz w:val="32"/>
          <w:szCs w:val="32"/>
        </w:rPr>
        <w:t>月</w:t>
      </w:r>
    </w:p>
    <w:p w14:paraId="03E000A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（5）项目内容。按照市政府统一安排,我局于2022年搬至市招商大厦办公, 办公用房为招商大厦4层，水电及保洁及网络使用费均由我单位自付。</w:t>
      </w:r>
    </w:p>
    <w:p w14:paraId="5A41361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2.6万元</w:t>
      </w:r>
    </w:p>
    <w:p w14:paraId="5541C67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1565"/>
        <w:gridCol w:w="1784"/>
        <w:gridCol w:w="488"/>
        <w:gridCol w:w="1360"/>
        <w:gridCol w:w="2380"/>
      </w:tblGrid>
      <w:tr w14:paraId="5D5F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8"/>
            <w:tcBorders>
              <w:top w:val="nil"/>
              <w:left w:val="nil"/>
              <w:bottom w:val="nil"/>
              <w:right w:val="nil"/>
            </w:tcBorders>
            <w:vAlign w:val="center"/>
          </w:tcPr>
          <w:p w14:paraId="5E9D3059">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2B5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8"/>
            <w:tcBorders>
              <w:top w:val="nil"/>
              <w:left w:val="nil"/>
              <w:right w:val="nil"/>
            </w:tcBorders>
            <w:vAlign w:val="center"/>
          </w:tcPr>
          <w:p w14:paraId="3EFAECA2">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63CA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F55FB4E">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5"/>
            <w:tcBorders>
              <w:tl2br w:val="nil"/>
              <w:tr2bl w:val="nil"/>
            </w:tcBorders>
            <w:vAlign w:val="center"/>
          </w:tcPr>
          <w:p w14:paraId="24A73376">
            <w:pPr>
              <w:jc w:val="center"/>
              <w:rPr>
                <w:rFonts w:ascii="宋体" w:cs="宋体"/>
                <w:sz w:val="20"/>
              </w:rPr>
            </w:pPr>
            <w:r>
              <w:rPr>
                <w:rFonts w:hint="eastAsia" w:ascii="宋体" w:cs="宋体"/>
                <w:sz w:val="20"/>
              </w:rPr>
              <w:t>办公大楼运行等工作经费</w:t>
            </w:r>
          </w:p>
        </w:tc>
      </w:tr>
      <w:tr w14:paraId="4A99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F8C78A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26402609">
            <w:pPr>
              <w:jc w:val="center"/>
              <w:rPr>
                <w:rFonts w:ascii="宋体" w:cs="宋体"/>
                <w:sz w:val="20"/>
              </w:rPr>
            </w:pPr>
            <w:r>
              <w:rPr>
                <w:rFonts w:hint="eastAsia" w:ascii="宋体" w:cs="宋体"/>
                <w:sz w:val="20"/>
              </w:rPr>
              <w:t>285淮北市</w:t>
            </w:r>
            <w:r>
              <w:rPr>
                <w:rFonts w:hint="eastAsia" w:ascii="宋体" w:cs="宋体"/>
                <w:sz w:val="20"/>
                <w:lang w:val="en-US" w:eastAsia="zh-CN"/>
              </w:rPr>
              <w:t>工业</w:t>
            </w:r>
            <w:r>
              <w:rPr>
                <w:rFonts w:hint="eastAsia" w:ascii="宋体" w:cs="宋体"/>
                <w:sz w:val="20"/>
              </w:rPr>
              <w:t>和信息化局</w:t>
            </w:r>
          </w:p>
        </w:tc>
        <w:tc>
          <w:tcPr>
            <w:tcW w:w="1848" w:type="dxa"/>
            <w:gridSpan w:val="2"/>
            <w:tcBorders>
              <w:tl2br w:val="nil"/>
              <w:tr2bl w:val="nil"/>
            </w:tcBorders>
            <w:vAlign w:val="center"/>
          </w:tcPr>
          <w:p w14:paraId="2969EB3D">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0092A2A7">
            <w:pPr>
              <w:jc w:val="center"/>
            </w:pPr>
            <w:r>
              <w:rPr>
                <w:rFonts w:hint="eastAsia"/>
              </w:rPr>
              <w:t>淮北市企业服务中心</w:t>
            </w:r>
          </w:p>
        </w:tc>
      </w:tr>
      <w:tr w14:paraId="5025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0E2E197">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0360028D">
            <w:pPr>
              <w:jc w:val="center"/>
              <w:rPr>
                <w:rFonts w:ascii="宋体" w:cs="宋体"/>
                <w:sz w:val="20"/>
              </w:rPr>
            </w:pPr>
            <w:r>
              <w:rPr>
                <w:rFonts w:hint="eastAsia" w:ascii="宋体" w:hAnsi="宋体" w:eastAsia="宋体" w:cs="宋体"/>
                <w:color w:val="000000"/>
                <w:kern w:val="0"/>
                <w:sz w:val="20"/>
                <w:szCs w:val="20"/>
              </w:rPr>
              <w:t>1-本级申报项目</w:t>
            </w:r>
          </w:p>
        </w:tc>
        <w:tc>
          <w:tcPr>
            <w:tcW w:w="1848" w:type="dxa"/>
            <w:gridSpan w:val="2"/>
            <w:tcBorders>
              <w:tl2br w:val="nil"/>
              <w:tr2bl w:val="nil"/>
            </w:tcBorders>
            <w:vAlign w:val="center"/>
          </w:tcPr>
          <w:p w14:paraId="3A405185">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30E10CE8">
            <w:pPr>
              <w:jc w:val="center"/>
            </w:pPr>
            <w:r>
              <w:rPr>
                <w:rFonts w:hint="eastAsia"/>
              </w:rPr>
              <w:t>202</w:t>
            </w:r>
            <w:r>
              <w:rPr>
                <w:rFonts w:hint="eastAsia"/>
                <w:lang w:val="en-US" w:eastAsia="zh-CN"/>
              </w:rPr>
              <w:t>5</w:t>
            </w:r>
            <w:r>
              <w:rPr>
                <w:rFonts w:hint="eastAsia"/>
              </w:rPr>
              <w:t>年度</w:t>
            </w:r>
          </w:p>
        </w:tc>
      </w:tr>
      <w:tr w14:paraId="0BAB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F50018E">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45E6D636">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3"/>
            <w:tcBorders>
              <w:tl2br w:val="nil"/>
              <w:tr2bl w:val="nil"/>
            </w:tcBorders>
            <w:vAlign w:val="center"/>
          </w:tcPr>
          <w:p w14:paraId="6D426C28">
            <w:pPr>
              <w:jc w:val="right"/>
              <w:rPr>
                <w:rFonts w:hint="default" w:ascii="宋体" w:cs="宋体" w:eastAsiaTheme="minorEastAsia"/>
                <w:sz w:val="20"/>
                <w:lang w:val="en-US" w:eastAsia="zh-CN"/>
              </w:rPr>
            </w:pPr>
            <w:r>
              <w:rPr>
                <w:rFonts w:hint="eastAsia" w:ascii="宋体" w:cs="宋体"/>
                <w:sz w:val="20"/>
                <w:lang w:val="en-US" w:eastAsia="zh-CN"/>
              </w:rPr>
              <w:t>2.60</w:t>
            </w:r>
          </w:p>
        </w:tc>
      </w:tr>
      <w:tr w14:paraId="29B0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BFFBD80">
            <w:pPr>
              <w:jc w:val="center"/>
              <w:rPr>
                <w:rFonts w:ascii="宋体" w:cs="宋体"/>
                <w:sz w:val="20"/>
              </w:rPr>
            </w:pPr>
          </w:p>
        </w:tc>
        <w:tc>
          <w:tcPr>
            <w:tcW w:w="3349" w:type="dxa"/>
            <w:gridSpan w:val="2"/>
            <w:tcBorders>
              <w:tl2br w:val="nil"/>
              <w:tr2bl w:val="nil"/>
            </w:tcBorders>
            <w:vAlign w:val="center"/>
          </w:tcPr>
          <w:p w14:paraId="79EF739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3"/>
            <w:tcBorders>
              <w:tl2br w:val="nil"/>
              <w:tr2bl w:val="nil"/>
            </w:tcBorders>
            <w:vAlign w:val="center"/>
          </w:tcPr>
          <w:p w14:paraId="71A7505A">
            <w:pPr>
              <w:jc w:val="right"/>
              <w:rPr>
                <w:rFonts w:hint="default" w:ascii="宋体" w:cs="宋体" w:eastAsiaTheme="minorEastAsia"/>
                <w:sz w:val="20"/>
                <w:lang w:val="en-US" w:eastAsia="zh-CN"/>
              </w:rPr>
            </w:pPr>
            <w:r>
              <w:rPr>
                <w:rFonts w:hint="eastAsia" w:ascii="宋体" w:cs="宋体"/>
                <w:sz w:val="20"/>
                <w:lang w:val="en-US" w:eastAsia="zh-CN"/>
              </w:rPr>
              <w:t>2.60</w:t>
            </w:r>
          </w:p>
        </w:tc>
      </w:tr>
      <w:tr w14:paraId="790C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FD50B1A">
            <w:pPr>
              <w:jc w:val="center"/>
              <w:rPr>
                <w:rFonts w:ascii="宋体" w:cs="宋体"/>
                <w:sz w:val="20"/>
              </w:rPr>
            </w:pPr>
          </w:p>
        </w:tc>
        <w:tc>
          <w:tcPr>
            <w:tcW w:w="3349" w:type="dxa"/>
            <w:gridSpan w:val="2"/>
            <w:tcBorders>
              <w:tl2br w:val="nil"/>
              <w:tr2bl w:val="nil"/>
            </w:tcBorders>
            <w:vAlign w:val="center"/>
          </w:tcPr>
          <w:p w14:paraId="34ADA68C">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3"/>
            <w:tcBorders>
              <w:tl2br w:val="nil"/>
              <w:tr2bl w:val="nil"/>
            </w:tcBorders>
            <w:vAlign w:val="center"/>
          </w:tcPr>
          <w:p w14:paraId="5C801FD9">
            <w:pPr>
              <w:jc w:val="center"/>
              <w:rPr>
                <w:rFonts w:ascii="宋体" w:cs="宋体"/>
                <w:sz w:val="20"/>
              </w:rPr>
            </w:pPr>
          </w:p>
        </w:tc>
      </w:tr>
      <w:tr w14:paraId="0A30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DCA573B">
            <w:pPr>
              <w:jc w:val="center"/>
              <w:rPr>
                <w:rFonts w:ascii="宋体" w:cs="宋体"/>
                <w:sz w:val="20"/>
              </w:rPr>
            </w:pPr>
          </w:p>
        </w:tc>
        <w:tc>
          <w:tcPr>
            <w:tcW w:w="3349" w:type="dxa"/>
            <w:gridSpan w:val="2"/>
            <w:tcBorders>
              <w:tl2br w:val="nil"/>
              <w:tr2bl w:val="nil"/>
            </w:tcBorders>
            <w:vAlign w:val="center"/>
          </w:tcPr>
          <w:p w14:paraId="51B4435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3"/>
            <w:tcBorders>
              <w:tl2br w:val="nil"/>
              <w:tr2bl w:val="nil"/>
            </w:tcBorders>
            <w:vAlign w:val="center"/>
          </w:tcPr>
          <w:p w14:paraId="219E0440">
            <w:pPr>
              <w:jc w:val="right"/>
              <w:rPr>
                <w:rFonts w:ascii="宋体" w:cs="宋体"/>
                <w:sz w:val="20"/>
              </w:rPr>
            </w:pPr>
          </w:p>
        </w:tc>
      </w:tr>
      <w:tr w14:paraId="7D30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5E5BC3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7"/>
            <w:tcBorders>
              <w:tl2br w:val="nil"/>
              <w:tr2bl w:val="nil"/>
            </w:tcBorders>
            <w:vAlign w:val="center"/>
          </w:tcPr>
          <w:p w14:paraId="2A7D515B">
            <w:pPr>
              <w:jc w:val="left"/>
              <w:rPr>
                <w:rFonts w:ascii="宋体" w:cs="宋体"/>
                <w:sz w:val="20"/>
              </w:rPr>
            </w:pPr>
            <w:r>
              <w:rPr>
                <w:rFonts w:hint="eastAsia" w:ascii="宋体" w:hAnsi="宋体" w:eastAsia="宋体" w:cs="宋体"/>
                <w:color w:val="000000"/>
                <w:kern w:val="0"/>
                <w:sz w:val="20"/>
                <w:szCs w:val="20"/>
              </w:rPr>
              <w:t>保障机关正常运行。</w:t>
            </w:r>
          </w:p>
        </w:tc>
      </w:tr>
      <w:tr w14:paraId="2ACC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CD26A0E">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46BB75F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847" w:type="dxa"/>
            <w:gridSpan w:val="2"/>
            <w:tcBorders>
              <w:tl2br w:val="nil"/>
              <w:tr2bl w:val="nil"/>
            </w:tcBorders>
            <w:vAlign w:val="center"/>
          </w:tcPr>
          <w:p w14:paraId="06C1F0B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272" w:type="dxa"/>
            <w:gridSpan w:val="2"/>
            <w:tcBorders>
              <w:tl2br w:val="nil"/>
              <w:tr2bl w:val="nil"/>
            </w:tcBorders>
            <w:vAlign w:val="center"/>
          </w:tcPr>
          <w:p w14:paraId="1DEA7C32">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3740" w:type="dxa"/>
            <w:gridSpan w:val="2"/>
            <w:tcBorders>
              <w:tl2br w:val="nil"/>
              <w:tr2bl w:val="nil"/>
            </w:tcBorders>
            <w:vAlign w:val="center"/>
          </w:tcPr>
          <w:p w14:paraId="3F968934">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128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38" w:type="dxa"/>
            <w:vMerge w:val="continue"/>
            <w:tcBorders>
              <w:tl2br w:val="nil"/>
              <w:tr2bl w:val="nil"/>
            </w:tcBorders>
            <w:vAlign w:val="center"/>
          </w:tcPr>
          <w:p w14:paraId="0855799B">
            <w:pPr>
              <w:jc w:val="center"/>
              <w:rPr>
                <w:rFonts w:ascii="宋体" w:cs="宋体"/>
                <w:sz w:val="20"/>
              </w:rPr>
            </w:pPr>
          </w:p>
        </w:tc>
        <w:tc>
          <w:tcPr>
            <w:tcW w:w="723" w:type="dxa"/>
            <w:vMerge w:val="restart"/>
            <w:tcBorders>
              <w:tl2br w:val="nil"/>
              <w:tr2bl w:val="nil"/>
            </w:tcBorders>
            <w:vAlign w:val="center"/>
          </w:tcPr>
          <w:p w14:paraId="50744B77">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1847" w:type="dxa"/>
            <w:gridSpan w:val="2"/>
            <w:tcBorders>
              <w:tl2br w:val="nil"/>
              <w:tr2bl w:val="nil"/>
            </w:tcBorders>
            <w:vAlign w:val="center"/>
          </w:tcPr>
          <w:p w14:paraId="0C9AFF53">
            <w:pPr>
              <w:widowControl/>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272" w:type="dxa"/>
            <w:gridSpan w:val="2"/>
            <w:tcBorders>
              <w:tl2br w:val="nil"/>
              <w:tr2bl w:val="nil"/>
            </w:tcBorders>
            <w:vAlign w:val="center"/>
          </w:tcPr>
          <w:p w14:paraId="15CFDB14">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保障服务企业数量</w:t>
            </w:r>
          </w:p>
        </w:tc>
        <w:tc>
          <w:tcPr>
            <w:tcW w:w="3740" w:type="dxa"/>
            <w:gridSpan w:val="2"/>
            <w:tcBorders>
              <w:tl2br w:val="nil"/>
              <w:tr2bl w:val="nil"/>
            </w:tcBorders>
            <w:vAlign w:val="center"/>
          </w:tcPr>
          <w:p w14:paraId="75EF3138">
            <w:pPr>
              <w:widowControl/>
              <w:jc w:val="center"/>
              <w:textAlignment w:val="center"/>
              <w:rPr>
                <w:rFonts w:hint="default" w:ascii="宋体" w:cs="宋体" w:eastAsiaTheme="minorEastAsia"/>
                <w:sz w:val="20"/>
                <w:lang w:val="en-US" w:eastAsia="zh-CN"/>
              </w:rPr>
            </w:pPr>
            <w:r>
              <w:rPr>
                <w:rFonts w:hint="eastAsia" w:ascii="宋体" w:hAnsi="宋体" w:eastAsia="宋体" w:cs="宋体"/>
                <w:color w:val="000000"/>
                <w:kern w:val="0"/>
                <w:sz w:val="20"/>
                <w:szCs w:val="20"/>
                <w:lang w:val="en-US" w:eastAsia="zh-CN"/>
              </w:rPr>
              <w:t>≤50个</w:t>
            </w:r>
          </w:p>
        </w:tc>
      </w:tr>
      <w:tr w14:paraId="55B8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38" w:type="dxa"/>
            <w:vMerge w:val="continue"/>
            <w:tcBorders>
              <w:tl2br w:val="nil"/>
              <w:tr2bl w:val="nil"/>
            </w:tcBorders>
            <w:vAlign w:val="center"/>
          </w:tcPr>
          <w:p w14:paraId="2B67A17E">
            <w:pPr>
              <w:jc w:val="center"/>
              <w:rPr>
                <w:rFonts w:ascii="宋体" w:cs="宋体"/>
                <w:sz w:val="20"/>
              </w:rPr>
            </w:pPr>
          </w:p>
        </w:tc>
        <w:tc>
          <w:tcPr>
            <w:tcW w:w="723" w:type="dxa"/>
            <w:vMerge w:val="continue"/>
            <w:tcBorders>
              <w:tl2br w:val="nil"/>
              <w:tr2bl w:val="nil"/>
            </w:tcBorders>
            <w:vAlign w:val="center"/>
          </w:tcPr>
          <w:p w14:paraId="408C6C8B">
            <w:pPr>
              <w:jc w:val="center"/>
              <w:rPr>
                <w:rFonts w:ascii="宋体" w:cs="宋体"/>
                <w:sz w:val="20"/>
              </w:rPr>
            </w:pPr>
          </w:p>
        </w:tc>
        <w:tc>
          <w:tcPr>
            <w:tcW w:w="1847" w:type="dxa"/>
            <w:gridSpan w:val="2"/>
            <w:tcBorders>
              <w:tl2br w:val="nil"/>
              <w:tr2bl w:val="nil"/>
            </w:tcBorders>
            <w:vAlign w:val="center"/>
          </w:tcPr>
          <w:p w14:paraId="38A5DD82">
            <w:pPr>
              <w:widowControl/>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272" w:type="dxa"/>
            <w:gridSpan w:val="2"/>
            <w:tcBorders>
              <w:tl2br w:val="nil"/>
              <w:tr2bl w:val="nil"/>
            </w:tcBorders>
            <w:vAlign w:val="center"/>
          </w:tcPr>
          <w:p w14:paraId="05C99E3F">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经费使用合规性</w:t>
            </w:r>
          </w:p>
        </w:tc>
        <w:tc>
          <w:tcPr>
            <w:tcW w:w="3740" w:type="dxa"/>
            <w:gridSpan w:val="2"/>
            <w:tcBorders>
              <w:tl2br w:val="nil"/>
              <w:tr2bl w:val="nil"/>
            </w:tcBorders>
            <w:vAlign w:val="center"/>
          </w:tcPr>
          <w:p w14:paraId="1D102557">
            <w:pPr>
              <w:widowControl/>
              <w:jc w:val="center"/>
              <w:textAlignment w:val="center"/>
              <w:rPr>
                <w:rFonts w:ascii="宋体" w:cs="宋体"/>
                <w:sz w:val="20"/>
              </w:rPr>
            </w:pPr>
            <w:r>
              <w:rPr>
                <w:rFonts w:hint="eastAsia" w:ascii="宋体" w:hAnsi="宋体" w:eastAsia="宋体" w:cs="宋体"/>
                <w:color w:val="000000"/>
                <w:sz w:val="20"/>
                <w:szCs w:val="20"/>
              </w:rPr>
              <w:t>严格执行相关法律法规</w:t>
            </w:r>
          </w:p>
        </w:tc>
      </w:tr>
      <w:tr w14:paraId="5FE1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38" w:type="dxa"/>
            <w:vMerge w:val="continue"/>
            <w:tcBorders>
              <w:tl2br w:val="nil"/>
              <w:tr2bl w:val="nil"/>
            </w:tcBorders>
            <w:vAlign w:val="center"/>
          </w:tcPr>
          <w:p w14:paraId="588A6FED">
            <w:pPr>
              <w:jc w:val="center"/>
              <w:rPr>
                <w:rFonts w:ascii="宋体" w:cs="宋体"/>
                <w:sz w:val="20"/>
              </w:rPr>
            </w:pPr>
          </w:p>
        </w:tc>
        <w:tc>
          <w:tcPr>
            <w:tcW w:w="723" w:type="dxa"/>
            <w:vMerge w:val="continue"/>
            <w:tcBorders>
              <w:tl2br w:val="nil"/>
              <w:tr2bl w:val="nil"/>
            </w:tcBorders>
            <w:vAlign w:val="center"/>
          </w:tcPr>
          <w:p w14:paraId="1F7A2F4F">
            <w:pPr>
              <w:jc w:val="center"/>
              <w:rPr>
                <w:rFonts w:ascii="宋体" w:cs="宋体"/>
                <w:sz w:val="20"/>
              </w:rPr>
            </w:pPr>
          </w:p>
        </w:tc>
        <w:tc>
          <w:tcPr>
            <w:tcW w:w="1847" w:type="dxa"/>
            <w:gridSpan w:val="2"/>
            <w:tcBorders>
              <w:tl2br w:val="nil"/>
              <w:tr2bl w:val="nil"/>
            </w:tcBorders>
            <w:vAlign w:val="center"/>
          </w:tcPr>
          <w:p w14:paraId="7B91DD4C">
            <w:pPr>
              <w:widowControl/>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272" w:type="dxa"/>
            <w:gridSpan w:val="2"/>
            <w:tcBorders>
              <w:tl2br w:val="nil"/>
              <w:tr2bl w:val="nil"/>
            </w:tcBorders>
            <w:vAlign w:val="center"/>
          </w:tcPr>
          <w:p w14:paraId="01BABC1A">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经费支出时效性</w:t>
            </w:r>
          </w:p>
        </w:tc>
        <w:tc>
          <w:tcPr>
            <w:tcW w:w="3740" w:type="dxa"/>
            <w:gridSpan w:val="2"/>
            <w:tcBorders>
              <w:tl2br w:val="nil"/>
              <w:tr2bl w:val="nil"/>
            </w:tcBorders>
            <w:vAlign w:val="center"/>
          </w:tcPr>
          <w:p w14:paraId="4FE08A8A">
            <w:pPr>
              <w:widowControl/>
              <w:jc w:val="center"/>
              <w:textAlignment w:val="center"/>
              <w:rPr>
                <w:rFonts w:ascii="宋体" w:cs="宋体"/>
                <w:sz w:val="20"/>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年度</w:t>
            </w:r>
          </w:p>
        </w:tc>
      </w:tr>
      <w:tr w14:paraId="68F8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38" w:type="dxa"/>
            <w:vMerge w:val="continue"/>
            <w:tcBorders>
              <w:tl2br w:val="nil"/>
              <w:tr2bl w:val="nil"/>
            </w:tcBorders>
            <w:vAlign w:val="center"/>
          </w:tcPr>
          <w:p w14:paraId="40666B58">
            <w:pPr>
              <w:jc w:val="center"/>
              <w:rPr>
                <w:rFonts w:ascii="宋体" w:cs="宋体"/>
                <w:sz w:val="20"/>
              </w:rPr>
            </w:pPr>
          </w:p>
        </w:tc>
        <w:tc>
          <w:tcPr>
            <w:tcW w:w="723" w:type="dxa"/>
            <w:vMerge w:val="continue"/>
            <w:tcBorders>
              <w:tl2br w:val="nil"/>
              <w:tr2bl w:val="nil"/>
            </w:tcBorders>
            <w:vAlign w:val="center"/>
          </w:tcPr>
          <w:p w14:paraId="3221B170">
            <w:pPr>
              <w:jc w:val="center"/>
              <w:rPr>
                <w:rFonts w:ascii="宋体" w:cs="宋体"/>
                <w:sz w:val="20"/>
              </w:rPr>
            </w:pPr>
          </w:p>
        </w:tc>
        <w:tc>
          <w:tcPr>
            <w:tcW w:w="1847" w:type="dxa"/>
            <w:gridSpan w:val="2"/>
            <w:tcBorders>
              <w:tl2br w:val="nil"/>
              <w:tr2bl w:val="nil"/>
            </w:tcBorders>
            <w:vAlign w:val="center"/>
          </w:tcPr>
          <w:p w14:paraId="734CA4C3">
            <w:pPr>
              <w:widowControl/>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272" w:type="dxa"/>
            <w:gridSpan w:val="2"/>
            <w:tcBorders>
              <w:tl2br w:val="nil"/>
              <w:tr2bl w:val="nil"/>
            </w:tcBorders>
            <w:vAlign w:val="center"/>
          </w:tcPr>
          <w:p w14:paraId="229ECE28">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成本总额</w:t>
            </w:r>
          </w:p>
        </w:tc>
        <w:tc>
          <w:tcPr>
            <w:tcW w:w="3740" w:type="dxa"/>
            <w:gridSpan w:val="2"/>
            <w:tcBorders>
              <w:tl2br w:val="nil"/>
              <w:tr2bl w:val="nil"/>
            </w:tcBorders>
            <w:vAlign w:val="center"/>
          </w:tcPr>
          <w:p w14:paraId="769BA842">
            <w:pPr>
              <w:widowControl/>
              <w:jc w:val="center"/>
              <w:textAlignment w:val="center"/>
              <w:rPr>
                <w:rFonts w:ascii="宋体" w:cs="宋体"/>
                <w:sz w:val="20"/>
              </w:rPr>
            </w:pP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2.60</w:t>
            </w:r>
            <w:r>
              <w:rPr>
                <w:rFonts w:hint="eastAsia" w:ascii="宋体" w:hAnsi="宋体" w:eastAsia="宋体" w:cs="宋体"/>
                <w:color w:val="000000"/>
                <w:kern w:val="0"/>
                <w:sz w:val="20"/>
                <w:szCs w:val="20"/>
              </w:rPr>
              <w:t>万元</w:t>
            </w:r>
          </w:p>
        </w:tc>
      </w:tr>
      <w:tr w14:paraId="6F4C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38" w:type="dxa"/>
            <w:vMerge w:val="continue"/>
            <w:tcBorders>
              <w:tl2br w:val="nil"/>
              <w:tr2bl w:val="nil"/>
            </w:tcBorders>
            <w:vAlign w:val="center"/>
          </w:tcPr>
          <w:p w14:paraId="216F0682">
            <w:pPr>
              <w:jc w:val="center"/>
              <w:rPr>
                <w:rFonts w:ascii="宋体" w:cs="宋体"/>
                <w:sz w:val="20"/>
              </w:rPr>
            </w:pPr>
          </w:p>
        </w:tc>
        <w:tc>
          <w:tcPr>
            <w:tcW w:w="723" w:type="dxa"/>
            <w:vMerge w:val="restart"/>
            <w:tcBorders>
              <w:tl2br w:val="nil"/>
              <w:tr2bl w:val="nil"/>
            </w:tcBorders>
            <w:vAlign w:val="center"/>
          </w:tcPr>
          <w:p w14:paraId="09F3606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1847" w:type="dxa"/>
            <w:gridSpan w:val="2"/>
            <w:tcBorders>
              <w:tl2br w:val="nil"/>
              <w:tr2bl w:val="nil"/>
            </w:tcBorders>
            <w:vAlign w:val="center"/>
          </w:tcPr>
          <w:p w14:paraId="02FC79C2">
            <w:pPr>
              <w:widowControl/>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272" w:type="dxa"/>
            <w:gridSpan w:val="2"/>
            <w:tcBorders>
              <w:tl2br w:val="nil"/>
              <w:tr2bl w:val="nil"/>
            </w:tcBorders>
            <w:vAlign w:val="center"/>
          </w:tcPr>
          <w:p w14:paraId="1E4C61F0">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办公大楼运行</w:t>
            </w:r>
          </w:p>
        </w:tc>
        <w:tc>
          <w:tcPr>
            <w:tcW w:w="3740" w:type="dxa"/>
            <w:gridSpan w:val="2"/>
            <w:tcBorders>
              <w:tl2br w:val="nil"/>
              <w:tr2bl w:val="nil"/>
            </w:tcBorders>
            <w:vAlign w:val="center"/>
          </w:tcPr>
          <w:p w14:paraId="4D2A9131">
            <w:pPr>
              <w:widowControl/>
              <w:jc w:val="center"/>
              <w:textAlignment w:val="center"/>
              <w:rPr>
                <w:rFonts w:ascii="宋体" w:cs="宋体"/>
                <w:sz w:val="20"/>
              </w:rPr>
            </w:pPr>
            <w:r>
              <w:rPr>
                <w:rFonts w:ascii="宋体" w:cs="宋体"/>
                <w:sz w:val="20"/>
              </w:rPr>
              <w:t>保障机关正常运转</w:t>
            </w:r>
          </w:p>
        </w:tc>
      </w:tr>
      <w:tr w14:paraId="3934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38" w:type="dxa"/>
            <w:vMerge w:val="continue"/>
            <w:tcBorders>
              <w:tl2br w:val="nil"/>
              <w:tr2bl w:val="nil"/>
            </w:tcBorders>
            <w:vAlign w:val="center"/>
          </w:tcPr>
          <w:p w14:paraId="1A4DB669">
            <w:pPr>
              <w:jc w:val="center"/>
              <w:rPr>
                <w:rFonts w:ascii="宋体" w:cs="宋体"/>
                <w:sz w:val="20"/>
              </w:rPr>
            </w:pPr>
          </w:p>
        </w:tc>
        <w:tc>
          <w:tcPr>
            <w:tcW w:w="723" w:type="dxa"/>
            <w:vMerge w:val="continue"/>
            <w:tcBorders>
              <w:tl2br w:val="nil"/>
              <w:tr2bl w:val="nil"/>
            </w:tcBorders>
            <w:vAlign w:val="center"/>
          </w:tcPr>
          <w:p w14:paraId="23416A5B">
            <w:pPr>
              <w:jc w:val="center"/>
              <w:rPr>
                <w:rFonts w:ascii="宋体" w:cs="宋体"/>
                <w:sz w:val="20"/>
              </w:rPr>
            </w:pPr>
          </w:p>
        </w:tc>
        <w:tc>
          <w:tcPr>
            <w:tcW w:w="1847" w:type="dxa"/>
            <w:gridSpan w:val="2"/>
            <w:tcBorders>
              <w:tl2br w:val="nil"/>
              <w:tr2bl w:val="nil"/>
            </w:tcBorders>
            <w:vAlign w:val="center"/>
          </w:tcPr>
          <w:p w14:paraId="123E8286">
            <w:pPr>
              <w:widowControl/>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272" w:type="dxa"/>
            <w:gridSpan w:val="2"/>
            <w:tcBorders>
              <w:tl2br w:val="nil"/>
              <w:tr2bl w:val="nil"/>
            </w:tcBorders>
            <w:vAlign w:val="center"/>
          </w:tcPr>
          <w:p w14:paraId="7CD668EB">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群众方便来访</w:t>
            </w:r>
          </w:p>
        </w:tc>
        <w:tc>
          <w:tcPr>
            <w:tcW w:w="3740" w:type="dxa"/>
            <w:gridSpan w:val="2"/>
            <w:tcBorders>
              <w:tl2br w:val="nil"/>
              <w:tr2bl w:val="nil"/>
            </w:tcBorders>
            <w:vAlign w:val="center"/>
          </w:tcPr>
          <w:p w14:paraId="0581E787">
            <w:pPr>
              <w:widowControl/>
              <w:jc w:val="center"/>
              <w:textAlignment w:val="center"/>
              <w:rPr>
                <w:rFonts w:ascii="宋体" w:cs="宋体"/>
                <w:sz w:val="20"/>
              </w:rPr>
            </w:pPr>
            <w:r>
              <w:rPr>
                <w:rFonts w:hint="eastAsia"/>
              </w:rPr>
              <w:t>方便群众</w:t>
            </w:r>
          </w:p>
        </w:tc>
      </w:tr>
      <w:tr w14:paraId="7BEF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38" w:type="dxa"/>
            <w:vMerge w:val="continue"/>
            <w:tcBorders>
              <w:tl2br w:val="nil"/>
              <w:tr2bl w:val="nil"/>
            </w:tcBorders>
            <w:vAlign w:val="center"/>
          </w:tcPr>
          <w:p w14:paraId="26E99F89">
            <w:pPr>
              <w:jc w:val="center"/>
              <w:rPr>
                <w:rFonts w:ascii="宋体" w:cs="宋体"/>
                <w:sz w:val="20"/>
              </w:rPr>
            </w:pPr>
          </w:p>
        </w:tc>
        <w:tc>
          <w:tcPr>
            <w:tcW w:w="723" w:type="dxa"/>
            <w:vMerge w:val="continue"/>
            <w:tcBorders>
              <w:tl2br w:val="nil"/>
              <w:tr2bl w:val="nil"/>
            </w:tcBorders>
            <w:vAlign w:val="center"/>
          </w:tcPr>
          <w:p w14:paraId="0F3ED2AC">
            <w:pPr>
              <w:jc w:val="center"/>
              <w:rPr>
                <w:rFonts w:ascii="宋体" w:cs="宋体"/>
                <w:sz w:val="20"/>
              </w:rPr>
            </w:pPr>
          </w:p>
        </w:tc>
        <w:tc>
          <w:tcPr>
            <w:tcW w:w="1847" w:type="dxa"/>
            <w:gridSpan w:val="2"/>
            <w:tcBorders>
              <w:tl2br w:val="nil"/>
              <w:tr2bl w:val="nil"/>
            </w:tcBorders>
            <w:vAlign w:val="center"/>
          </w:tcPr>
          <w:p w14:paraId="75A983C3">
            <w:pPr>
              <w:widowControl/>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272" w:type="dxa"/>
            <w:gridSpan w:val="2"/>
            <w:tcBorders>
              <w:tl2br w:val="nil"/>
              <w:tr2bl w:val="nil"/>
            </w:tcBorders>
            <w:vAlign w:val="center"/>
          </w:tcPr>
          <w:p w14:paraId="2115C2ED">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提升环保意识的影响</w:t>
            </w:r>
          </w:p>
        </w:tc>
        <w:tc>
          <w:tcPr>
            <w:tcW w:w="3740" w:type="dxa"/>
            <w:gridSpan w:val="2"/>
            <w:tcBorders>
              <w:tl2br w:val="nil"/>
              <w:tr2bl w:val="nil"/>
            </w:tcBorders>
            <w:vAlign w:val="center"/>
          </w:tcPr>
          <w:p w14:paraId="0F6CE6D5">
            <w:pPr>
              <w:widowControl/>
              <w:jc w:val="center"/>
              <w:textAlignment w:val="center"/>
              <w:rPr>
                <w:rFonts w:ascii="宋体" w:cs="宋体"/>
                <w:sz w:val="20"/>
              </w:rPr>
            </w:pPr>
            <w:r>
              <w:rPr>
                <w:rFonts w:hint="eastAsia"/>
              </w:rPr>
              <w:t>较高</w:t>
            </w:r>
          </w:p>
        </w:tc>
      </w:tr>
      <w:tr w14:paraId="3E6E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F96FDA2">
            <w:pPr>
              <w:jc w:val="center"/>
              <w:rPr>
                <w:rFonts w:ascii="宋体" w:cs="宋体"/>
                <w:sz w:val="20"/>
              </w:rPr>
            </w:pPr>
          </w:p>
        </w:tc>
        <w:tc>
          <w:tcPr>
            <w:tcW w:w="723" w:type="dxa"/>
            <w:vMerge w:val="continue"/>
            <w:tcBorders>
              <w:tl2br w:val="nil"/>
              <w:tr2bl w:val="nil"/>
            </w:tcBorders>
            <w:vAlign w:val="center"/>
          </w:tcPr>
          <w:p w14:paraId="1CCF6227">
            <w:pPr>
              <w:jc w:val="center"/>
              <w:rPr>
                <w:rFonts w:ascii="宋体" w:cs="宋体"/>
                <w:sz w:val="20"/>
              </w:rPr>
            </w:pPr>
          </w:p>
        </w:tc>
        <w:tc>
          <w:tcPr>
            <w:tcW w:w="1847" w:type="dxa"/>
            <w:gridSpan w:val="2"/>
            <w:tcBorders>
              <w:tl2br w:val="nil"/>
              <w:tr2bl w:val="nil"/>
            </w:tcBorders>
            <w:vAlign w:val="center"/>
          </w:tcPr>
          <w:p w14:paraId="5AD9C468">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可持续影响指标</w:t>
            </w:r>
          </w:p>
        </w:tc>
        <w:tc>
          <w:tcPr>
            <w:tcW w:w="2272" w:type="dxa"/>
            <w:gridSpan w:val="2"/>
            <w:tcBorders>
              <w:tl2br w:val="nil"/>
              <w:tr2bl w:val="nil"/>
            </w:tcBorders>
            <w:vAlign w:val="center"/>
          </w:tcPr>
          <w:p w14:paraId="6FA1DB3D">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办公地点稳定</w:t>
            </w:r>
          </w:p>
        </w:tc>
        <w:tc>
          <w:tcPr>
            <w:tcW w:w="3740" w:type="dxa"/>
            <w:gridSpan w:val="2"/>
            <w:tcBorders>
              <w:tl2br w:val="nil"/>
              <w:tr2bl w:val="nil"/>
            </w:tcBorders>
            <w:vAlign w:val="center"/>
          </w:tcPr>
          <w:p w14:paraId="56C8245A">
            <w:pPr>
              <w:widowControl/>
              <w:jc w:val="center"/>
              <w:textAlignment w:val="center"/>
              <w:rPr>
                <w:rFonts w:ascii="宋体" w:cs="宋体"/>
                <w:sz w:val="20"/>
              </w:rPr>
            </w:pPr>
            <w:r>
              <w:rPr>
                <w:rFonts w:ascii="宋体" w:cs="宋体"/>
                <w:sz w:val="20"/>
              </w:rPr>
              <w:t>保障机关正常运转</w:t>
            </w:r>
          </w:p>
        </w:tc>
      </w:tr>
      <w:tr w14:paraId="1A9A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6CA3ADC">
            <w:pPr>
              <w:jc w:val="center"/>
              <w:rPr>
                <w:rFonts w:ascii="宋体" w:cs="宋体"/>
                <w:sz w:val="20"/>
              </w:rPr>
            </w:pPr>
          </w:p>
        </w:tc>
        <w:tc>
          <w:tcPr>
            <w:tcW w:w="723" w:type="dxa"/>
            <w:tcBorders>
              <w:tl2br w:val="nil"/>
              <w:tr2bl w:val="nil"/>
            </w:tcBorders>
            <w:vAlign w:val="center"/>
          </w:tcPr>
          <w:p w14:paraId="4A0D1E84">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1847" w:type="dxa"/>
            <w:gridSpan w:val="2"/>
            <w:tcBorders>
              <w:tl2br w:val="nil"/>
              <w:tr2bl w:val="nil"/>
            </w:tcBorders>
            <w:vAlign w:val="center"/>
          </w:tcPr>
          <w:p w14:paraId="3E6591D2">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满意度指标</w:t>
            </w:r>
          </w:p>
        </w:tc>
        <w:tc>
          <w:tcPr>
            <w:tcW w:w="2272" w:type="dxa"/>
            <w:gridSpan w:val="2"/>
            <w:tcBorders>
              <w:tl2br w:val="nil"/>
              <w:tr2bl w:val="nil"/>
            </w:tcBorders>
            <w:vAlign w:val="center"/>
          </w:tcPr>
          <w:p w14:paraId="1E7D8B0A">
            <w:pPr>
              <w:widowControl/>
              <w:jc w:val="center"/>
              <w:textAlignment w:val="center"/>
              <w:rPr>
                <w:rFonts w:ascii="宋体" w:hAnsi="宋体" w:eastAsia="宋体" w:cs="宋体"/>
                <w:sz w:val="20"/>
              </w:rPr>
            </w:pPr>
            <w:r>
              <w:rPr>
                <w:rFonts w:hint="eastAsia" w:ascii="宋体" w:hAnsi="宋体" w:eastAsia="宋体" w:cs="宋体"/>
                <w:color w:val="000000"/>
                <w:kern w:val="0"/>
                <w:sz w:val="20"/>
                <w:szCs w:val="20"/>
              </w:rPr>
              <w:t>社会满意度</w:t>
            </w:r>
          </w:p>
        </w:tc>
        <w:tc>
          <w:tcPr>
            <w:tcW w:w="3740" w:type="dxa"/>
            <w:gridSpan w:val="2"/>
            <w:tcBorders>
              <w:tl2br w:val="nil"/>
              <w:tr2bl w:val="nil"/>
            </w:tcBorders>
            <w:vAlign w:val="center"/>
          </w:tcPr>
          <w:p w14:paraId="2F9E8667">
            <w:pPr>
              <w:widowControl/>
              <w:jc w:val="center"/>
              <w:textAlignment w:val="center"/>
              <w:rPr>
                <w:rFonts w:ascii="宋体" w:cs="宋体"/>
                <w:sz w:val="20"/>
              </w:rPr>
            </w:pPr>
            <w:r>
              <w:rPr>
                <w:rFonts w:hint="eastAsia" w:ascii="宋体" w:hAnsi="宋体" w:eastAsia="宋体" w:cs="宋体"/>
                <w:color w:val="000000"/>
                <w:kern w:val="0"/>
                <w:sz w:val="20"/>
                <w:szCs w:val="20"/>
              </w:rPr>
              <w:t>≥95%</w:t>
            </w:r>
          </w:p>
        </w:tc>
      </w:tr>
    </w:tbl>
    <w:p w14:paraId="790A430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135F8C0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淮北市工业和信息化局</w:t>
      </w:r>
      <w:r>
        <w:rPr>
          <w:rFonts w:hint="eastAsia" w:ascii="TimesNewRoman" w:hAnsi="TimesNewRoman" w:eastAsia="仿宋_GB2312" w:cs="TimesNewRoman"/>
          <w:kern w:val="0"/>
          <w:sz w:val="32"/>
          <w:szCs w:val="32"/>
        </w:rPr>
        <w:t>2025年机关运行经费财政拨款预算113.6</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7.75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7.32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人员变动</w:t>
      </w:r>
      <w:r>
        <w:rPr>
          <w:rFonts w:hint="eastAsia" w:ascii="TimesNewRoman" w:hAnsi="TimesNewRoman" w:eastAsia="仿宋_GB2312" w:cs="TimesNewRoman"/>
          <w:kern w:val="0"/>
          <w:sz w:val="32"/>
          <w:szCs w:val="32"/>
        </w:rPr>
        <w:t>。</w:t>
      </w:r>
    </w:p>
    <w:p w14:paraId="51ADEBC1">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076541B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淮北市工业和信息化局</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069B263C">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02A6804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w:t>
      </w:r>
      <w:r>
        <w:rPr>
          <w:rFonts w:hint="eastAsia" w:ascii="TimesNewRoman" w:hAnsi="TimesNewRoman" w:eastAsia="仿宋_GB2312" w:cs="TimesNewRoman"/>
          <w:kern w:val="0"/>
          <w:sz w:val="32"/>
          <w:szCs w:val="32"/>
          <w:lang w:eastAsia="zh-CN"/>
        </w:rPr>
        <w:t>淮北市工业和信息化局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辆，其中：其他用车</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517AAC9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w:t>
      </w:r>
      <w:r>
        <w:rPr>
          <w:rFonts w:hint="eastAsia" w:ascii="TimesNewRoman" w:hAnsi="TimesNewRoman" w:eastAsia="仿宋_GB2312" w:cs="TimesNewRoman"/>
          <w:kern w:val="0"/>
          <w:sz w:val="32"/>
          <w:szCs w:val="32"/>
          <w:lang w:eastAsia="zh-CN"/>
        </w:rPr>
        <w:t>部门</w:t>
      </w:r>
      <w:r>
        <w:rPr>
          <w:rFonts w:hint="eastAsia" w:ascii="TimesNewRoman" w:hAnsi="TimesNewRoman" w:eastAsia="仿宋_GB2312" w:cs="TimesNewRoman"/>
          <w:kern w:val="0"/>
          <w:sz w:val="32"/>
          <w:szCs w:val="32"/>
        </w:rPr>
        <w:t>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26BCC133">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35EE614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w:t>
      </w:r>
      <w:r>
        <w:rPr>
          <w:rFonts w:hint="eastAsia" w:ascii="TimesNewRoman" w:hAnsi="TimesNewRoman" w:eastAsia="仿宋_GB2312" w:cs="TimesNewRoman"/>
          <w:kern w:val="0"/>
          <w:sz w:val="32"/>
          <w:szCs w:val="32"/>
          <w:lang w:eastAsia="zh-CN"/>
        </w:rPr>
        <w:t>淮北市工业和信息化局</w:t>
      </w: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个项目实行了绩效目标管理，涉及一般公共预算当年财政拨款7</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830.5</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6FDDADF5">
      <w:pPr>
        <w:pStyle w:val="5"/>
        <w:adjustRightInd w:val="0"/>
        <w:snapToGrid w:val="0"/>
        <w:spacing w:line="560" w:lineRule="exact"/>
        <w:jc w:val="center"/>
        <w:rPr>
          <w:rFonts w:ascii="TimesNewRoman" w:hAnsi="TimesNewRoman" w:eastAsia="黑体" w:cs="TimesNewRoman"/>
          <w:bCs/>
          <w:sz w:val="36"/>
          <w:szCs w:val="36"/>
        </w:rPr>
      </w:pPr>
    </w:p>
    <w:p w14:paraId="67D93B63">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46D1A0EF"/>
    <w:p w14:paraId="1776C974">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29C19963">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5DFABFE7">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5186AC60">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54CC97BB">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372BBEE2">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625C6E6C">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10135B74">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413EFB0A">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74A06DFA">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105DAF86"/>
    <w:p w14:paraId="0A5F2D7F"/>
    <w:p w14:paraId="7480A056"/>
    <w:p w14:paraId="28E3D94C"/>
    <w:p w14:paraId="18CE25BB"/>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0615708F"/>
    <w:rsid w:val="150C76E1"/>
    <w:rsid w:val="20CA0FAA"/>
    <w:rsid w:val="23054DCB"/>
    <w:rsid w:val="5AEB20C7"/>
    <w:rsid w:val="6F21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8198</Words>
  <Characters>9154</Characters>
  <Lines>46</Lines>
  <Paragraphs>13</Paragraphs>
  <TotalTime>0</TotalTime>
  <ScaleCrop>false</ScaleCrop>
  <LinksUpToDate>false</LinksUpToDate>
  <CharactersWithSpaces>9209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董杰</cp:lastModifiedBy>
  <dcterms:modified xsi:type="dcterms:W3CDTF">2025-02-11T06:27:16Z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eyJoZGlkIjoiY2QzMjY1OTU5ZWRlMjMwZWM3NzY4MjEzYWE3OTA3NWEiLCJ1c2VySWQiOiI0MzUzNTk3OTgifQ==</vt:lpwstr>
  </property>
  <property fmtid="{D5CDD505-2E9C-101B-9397-08002B2CF9AE}" pid="3" name="KSOProductBuildVer">
    <vt:lpwstr>2052-12.1.0.19770</vt:lpwstr>
  </property>
  <property fmtid="{D5CDD505-2E9C-101B-9397-08002B2CF9AE}" pid="4" name="ICV">
    <vt:lpwstr>9DB54ADFA7A746B38E8107A4465CE05A_12</vt:lpwstr>
  </property>
</Properties>
</file>