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83" w:rsidRDefault="009B5444">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B5444">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淮北市企业服务中心</w:t>
      </w:r>
      <w:r>
        <w:rPr>
          <w:rFonts w:ascii="TimesNewRoman" w:eastAsia="华文中宋" w:hAnsi="TimesNewRoman" w:cs="TimesNewRoman" w:hint="eastAsia"/>
          <w:b/>
          <w:sz w:val="44"/>
          <w:szCs w:val="44"/>
        </w:rPr>
        <w:t>2025</w:t>
      </w:r>
      <w:r>
        <w:rPr>
          <w:rFonts w:ascii="TimesNewRoman" w:eastAsia="华文中宋" w:hAnsi="TimesNewRoman" w:cs="TimesNewRoman" w:hint="eastAsia"/>
          <w:b/>
          <w:sz w:val="44"/>
          <w:szCs w:val="44"/>
        </w:rPr>
        <w:t>年</w:t>
      </w:r>
    </w:p>
    <w:p w:rsidR="009E4583" w:rsidRDefault="009B5444">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单位预算</w:t>
      </w:r>
    </w:p>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 w:rsidR="009E4583" w:rsidRDefault="009E4583">
      <w:pPr>
        <w:pStyle w:val="a5"/>
        <w:adjustRightInd w:val="0"/>
        <w:snapToGrid w:val="0"/>
        <w:spacing w:line="560" w:lineRule="exact"/>
        <w:jc w:val="center"/>
        <w:rPr>
          <w:rFonts w:ascii="TimesNewRoman" w:eastAsia="黑体" w:hAnsi="TimesNewRoman" w:cs="TimesNewRoman"/>
          <w:bCs/>
          <w:sz w:val="44"/>
          <w:szCs w:val="44"/>
        </w:rPr>
      </w:pPr>
    </w:p>
    <w:p w:rsidR="009E4583" w:rsidRDefault="009B5444">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2025</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2</w:t>
      </w:r>
      <w:r>
        <w:rPr>
          <w:rFonts w:ascii="TimesNewRoman" w:eastAsia="黑体" w:hAnsi="TimesNewRoman" w:cs="TimesNewRoman" w:hint="eastAsia"/>
          <w:bCs/>
          <w:sz w:val="44"/>
          <w:szCs w:val="44"/>
        </w:rPr>
        <w:t>月</w:t>
      </w:r>
    </w:p>
    <w:p w:rsidR="009E4583" w:rsidRDefault="009E4583"/>
    <w:p w:rsidR="009E4583" w:rsidRDefault="009E4583"/>
    <w:p w:rsidR="009E4583" w:rsidRDefault="009B5444">
      <w:pPr>
        <w:pStyle w:val="a5"/>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9E4583" w:rsidRDefault="009E4583"/>
    <w:p w:rsidR="009E4583" w:rsidRDefault="009B5444">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单位概况</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、单位预算构成</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年度主要工作任务</w:t>
      </w:r>
    </w:p>
    <w:p w:rsidR="009E4583" w:rsidRDefault="009B5444">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2025</w:t>
      </w:r>
      <w:r>
        <w:rPr>
          <w:rFonts w:ascii="TimesNewRoman" w:eastAsia="仿宋_GB2312" w:hAnsi="TimesNewRoman" w:cs="TimesNewRoman" w:hint="eastAsia"/>
          <w:b/>
          <w:sz w:val="32"/>
          <w:szCs w:val="32"/>
        </w:rPr>
        <w:t>年单位预算表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年收支总表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年收入总表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年支出总表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年财政拨款收支总表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年一般公共预算基本支出表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年政府性基金预算支出表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年国有资本经营预算支出表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年项目支出表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年政府采购支出表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年政府购买服务支出表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bCs/>
          <w:sz w:val="32"/>
          <w:szCs w:val="32"/>
        </w:rPr>
        <w:t>2025</w:t>
      </w:r>
      <w:r>
        <w:rPr>
          <w:rFonts w:ascii="TimesNewRoman" w:eastAsia="仿宋_GB2312" w:hAnsi="TimesNewRoman" w:cs="TimesNewRoman"/>
          <w:bCs/>
          <w:sz w:val="32"/>
          <w:szCs w:val="32"/>
        </w:rPr>
        <w:t>年通用资产配置支出表</w:t>
      </w:r>
    </w:p>
    <w:p w:rsidR="009E4583" w:rsidRDefault="009B5444">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2025</w:t>
      </w:r>
      <w:r>
        <w:rPr>
          <w:rFonts w:ascii="TimesNewRoman" w:eastAsia="仿宋_GB2312" w:hAnsi="TimesNewRoman" w:cs="TimesNewRoman" w:hint="eastAsia"/>
          <w:b/>
          <w:sz w:val="32"/>
          <w:szCs w:val="32"/>
        </w:rPr>
        <w:t>年单位预算情况说明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年收支总表的说明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年收入总表的说明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年支出总表的说明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年财政拨款收支总表的说明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年一般公共预算基本支出表的说明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年政府性基金预算支出表的说明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年国有资本经营预算支出表的说明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年项目支出表的说明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年政府采购支出表的说明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年政府购买服务支出表的说明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年通用资产配置支出表的说明</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13</w:t>
      </w:r>
      <w:r>
        <w:rPr>
          <w:rFonts w:ascii="TimesNewRoman" w:eastAsia="仿宋_GB2312" w:hAnsi="TimesNewRoman" w:cs="TimesNewRoman" w:hint="eastAsia"/>
          <w:bCs/>
          <w:sz w:val="32"/>
          <w:szCs w:val="32"/>
        </w:rPr>
        <w:t>、其他重要事项情况说明</w:t>
      </w:r>
    </w:p>
    <w:p w:rsidR="009E4583" w:rsidRDefault="009B5444">
      <w:pPr>
        <w:pStyle w:val="a5"/>
        <w:adjustRightInd w:val="0"/>
        <w:snapToGrid w:val="0"/>
        <w:spacing w:line="400" w:lineRule="exact"/>
        <w:ind w:firstLineChars="200" w:firstLine="643"/>
        <w:rPr>
          <w:rFonts w:ascii="TimesNewRoman" w:eastAsia="仿宋_GB2312" w:hAnsi="TimesNewRoman" w:cs="TimesNewRoman"/>
          <w:b/>
          <w:sz w:val="32"/>
          <w:szCs w:val="32"/>
        </w:rPr>
      </w:pPr>
      <w:bookmarkStart w:id="0" w:name="_GoBack"/>
      <w:bookmarkEnd w:id="0"/>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9E4583" w:rsidRDefault="009B5444">
      <w:pPr>
        <w:pStyle w:val="a5"/>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年部门预算纳入绩效考评项目表</w:t>
      </w:r>
    </w:p>
    <w:p w:rsidR="009E4583" w:rsidRDefault="009B5444">
      <w:pPr>
        <w:pStyle w:val="a5"/>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年部门预算专项资金管理清单（专栏公开）</w:t>
      </w:r>
    </w:p>
    <w:p w:rsidR="009E4583" w:rsidRDefault="009E4583">
      <w:pPr>
        <w:pStyle w:val="a5"/>
        <w:adjustRightInd w:val="0"/>
        <w:snapToGrid w:val="0"/>
        <w:spacing w:line="400" w:lineRule="exact"/>
        <w:ind w:firstLineChars="250" w:firstLine="800"/>
        <w:rPr>
          <w:rFonts w:ascii="TimesNewRoman" w:eastAsia="仿宋_GB2312" w:hAnsi="TimesNewRoman" w:cs="TimesNewRoman"/>
          <w:bCs/>
          <w:sz w:val="32"/>
          <w:szCs w:val="32"/>
        </w:rPr>
      </w:pPr>
    </w:p>
    <w:p w:rsidR="009E4583" w:rsidRDefault="009E4583">
      <w:pPr>
        <w:pStyle w:val="a5"/>
        <w:adjustRightInd w:val="0"/>
        <w:snapToGrid w:val="0"/>
        <w:spacing w:line="560" w:lineRule="exact"/>
        <w:jc w:val="center"/>
        <w:rPr>
          <w:rFonts w:ascii="TimesNewRoman" w:eastAsia="黑体" w:hAnsi="TimesNewRoman" w:cs="TimesNewRoman"/>
          <w:bCs/>
          <w:sz w:val="36"/>
          <w:szCs w:val="36"/>
        </w:rPr>
      </w:pPr>
    </w:p>
    <w:p w:rsidR="009E4583" w:rsidRDefault="009E4583">
      <w:pPr>
        <w:pStyle w:val="a5"/>
        <w:adjustRightInd w:val="0"/>
        <w:snapToGrid w:val="0"/>
        <w:spacing w:line="560" w:lineRule="exact"/>
        <w:jc w:val="center"/>
        <w:rPr>
          <w:rFonts w:ascii="TimesNewRoman" w:eastAsia="黑体" w:hAnsi="TimesNewRoman" w:cs="TimesNewRoman"/>
          <w:bCs/>
          <w:sz w:val="36"/>
          <w:szCs w:val="36"/>
        </w:rPr>
      </w:pPr>
    </w:p>
    <w:p w:rsidR="009E4583" w:rsidRDefault="009E4583">
      <w:pPr>
        <w:pStyle w:val="a5"/>
        <w:adjustRightInd w:val="0"/>
        <w:snapToGrid w:val="0"/>
        <w:spacing w:line="560" w:lineRule="exact"/>
        <w:jc w:val="center"/>
        <w:rPr>
          <w:rFonts w:ascii="TimesNewRoman" w:eastAsia="黑体" w:hAnsi="TimesNewRoman" w:cs="TimesNewRoman"/>
          <w:bCs/>
          <w:sz w:val="36"/>
          <w:szCs w:val="36"/>
        </w:rPr>
      </w:pPr>
    </w:p>
    <w:p w:rsidR="009E4583" w:rsidRDefault="009B5444">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单位概况</w:t>
      </w:r>
    </w:p>
    <w:p w:rsidR="009E4583" w:rsidRDefault="009E4583"/>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rsidR="009E4583" w:rsidRDefault="009B544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受淮北市工业和信息化局委委托，负责研究拟定工业行业发展规划、行业规章和规范，引导行业合理布局，促进行业结构调整</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汇集、分析和发布行业经济技术和市场信息，提供信息咨询服务</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负责原机电、冶化、轻工协会机关离退休人员及行业市属企业离休干部的管理服务工作。</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二、单位预算构成</w:t>
      </w:r>
    </w:p>
    <w:p w:rsidR="009E4583" w:rsidRDefault="009B5444">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淮北市企业服务中心</w:t>
      </w:r>
      <w:r>
        <w:rPr>
          <w:rFonts w:ascii="TimesNewRoman" w:eastAsia="仿宋_GB2312" w:hAnsi="TimesNewRoman" w:cs="TimesNewRoman" w:hint="eastAsia"/>
          <w:sz w:val="32"/>
          <w:szCs w:val="32"/>
        </w:rPr>
        <w:t>2025</w:t>
      </w:r>
      <w:r>
        <w:rPr>
          <w:rFonts w:ascii="TimesNewRoman" w:eastAsia="仿宋_GB2312" w:hAnsi="TimesNewRoman" w:cs="TimesNewRoman" w:hint="eastAsia"/>
          <w:sz w:val="32"/>
          <w:szCs w:val="32"/>
        </w:rPr>
        <w:t>年度部门预算仅包括本级预算，无其他下属单位预算。</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年度主要工作任务</w:t>
      </w:r>
    </w:p>
    <w:p w:rsidR="009E4583" w:rsidRDefault="009B544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一）深入学习贯彻党的十九大精神。按照市经信局统一部署，深入学习贯彻党的十九大及十九届二中、三中、四中、五中、六中全会及十九大精神，做到统一思想，步调一致，严肃政治纪律和组织纪律，坚定不移地贯彻市委、市政府和市经信局的重要决策，自觉加强学法，做到知法、懂法，加强法制观念，做到依法行政，为促进我市工业经济又好又快发展做出应有的贡献。</w:t>
      </w:r>
    </w:p>
    <w:p w:rsidR="009E4583" w:rsidRDefault="00B153F0">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（二）进一步抓好党风廉政建设工作。</w:t>
      </w:r>
      <w:r w:rsidR="0063784E">
        <w:rPr>
          <w:rFonts w:ascii="TimesNewRoman" w:eastAsia="仿宋_GB2312" w:hAnsi="TimesNewRoman" w:cs="TimesNewRoman" w:hint="eastAsia"/>
          <w:bCs/>
          <w:sz w:val="32"/>
          <w:szCs w:val="32"/>
        </w:rPr>
        <w:t>切实抓好风险防控，</w:t>
      </w:r>
      <w:r w:rsidR="009B5444">
        <w:rPr>
          <w:rFonts w:ascii="TimesNewRoman" w:eastAsia="仿宋_GB2312" w:hAnsi="TimesNewRoman" w:cs="TimesNewRoman" w:hint="eastAsia"/>
          <w:bCs/>
          <w:sz w:val="32"/>
          <w:szCs w:val="32"/>
        </w:rPr>
        <w:t>进一步加强理想信念、从政道德、优良传统、思想作风和党纪政纪教育，</w:t>
      </w:r>
      <w:r w:rsidR="009B5444">
        <w:rPr>
          <w:rFonts w:ascii="TimesNewRoman" w:eastAsia="仿宋_GB2312" w:hAnsi="TimesNewRoman" w:cs="TimesNewRoman" w:hint="eastAsia"/>
          <w:bCs/>
          <w:sz w:val="32"/>
          <w:szCs w:val="32"/>
        </w:rPr>
        <w:lastRenderedPageBreak/>
        <w:t>教育干部职工树立正确的世界观、人生观和价值观；切实抓好落实党风廉政建设责任制工作的领导，加强监督，把党风廉政建设责任制落到实处。</w:t>
      </w:r>
    </w:p>
    <w:p w:rsidR="009E4583" w:rsidRDefault="009B544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三）进一步抓好机关效能建设工作。进一步巩固“不忘初心、牢记使命”主题教育成果，坚决贯彻党的群众路线方针政策，紧密结合行办自身实际，进一步完善行办各项规章制度，积极推进机关效能建设，从工作程序上和实体内容上规范从政行为，努力提高办事效率；进一步加强政治理论、专业知识、法律法规等内容的学习，不断提高机关全体人员的整体素质，提升工作水平；进一步增强创新意识，勇于解放思想、开拓创新，开创行办工作新局面。</w:t>
      </w:r>
    </w:p>
    <w:p w:rsidR="009E4583" w:rsidRDefault="009B544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四）进一步做好行业管理工作。进一步围绕市委市政府提出的打造精良产业、实现转型发展的目标任务，广泛深入开展调研，及时准确收集各方面信息，准确把握行业发展态势，为政府决策提供依据；进一步加强行业统计分析工作，夯实基础管理工作。加强与市、县（区）相关部门和重点企业的联系，跟踪掌握重点行业、企业生产经营情况和重点项目建设情况，完善行业管理基础档案；加大对企业的指导和服务力度，及时掌握国家新出台的产业政策，为企业发展提供及时、准确的信息和高效快捷的服务。</w:t>
      </w:r>
    </w:p>
    <w:p w:rsidR="009E4583" w:rsidRDefault="009B5444">
      <w:pPr>
        <w:pStyle w:val="a5"/>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五）进一步做好老干部管理服务工作。认真落实国家及省市老干部工作政策，进一步完善老干部管理服务工作机制，细化管理和服务措施；及时了解掌握老干部工作遇到的新情况和新问题，掌握老干部的身体和生活情况，尤其是对特困家庭，积极帮助解决生活困难。重视支持老干部党支部建设，积极向老干部传达贯彻党的路线方针政</w:t>
      </w:r>
      <w:r>
        <w:rPr>
          <w:rFonts w:ascii="TimesNewRoman" w:eastAsia="仿宋_GB2312" w:hAnsi="TimesNewRoman" w:cs="TimesNewRoman" w:hint="eastAsia"/>
          <w:bCs/>
          <w:sz w:val="32"/>
          <w:szCs w:val="32"/>
        </w:rPr>
        <w:lastRenderedPageBreak/>
        <w:t>策和市委市政府重大决策，通报有关工作情况，使老干部们能够切身感受到党和组织的关怀和温暖。</w:t>
      </w:r>
    </w:p>
    <w:p w:rsidR="009E4583" w:rsidRDefault="009E4583"/>
    <w:p w:rsidR="009E4583" w:rsidRDefault="009B5444">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2025</w:t>
      </w:r>
      <w:r>
        <w:rPr>
          <w:rFonts w:ascii="TimesNewRoman" w:eastAsia="黑体" w:hAnsi="TimesNewRoman" w:cs="TimesNewRoman" w:hint="eastAsia"/>
          <w:bCs/>
          <w:sz w:val="36"/>
          <w:szCs w:val="36"/>
        </w:rPr>
        <w:t>年单位预算表</w:t>
      </w:r>
    </w:p>
    <w:p w:rsidR="009E4583" w:rsidRDefault="009B5444">
      <w:pPr>
        <w:pStyle w:val="a5"/>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rsidR="009E4583" w:rsidRDefault="009B5444">
      <w:r>
        <w:t xml:space="preserve">                                        </w:t>
      </w:r>
    </w:p>
    <w:p w:rsidR="009E4583" w:rsidRDefault="009B5444">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2025</w:t>
      </w:r>
      <w:r>
        <w:rPr>
          <w:rFonts w:ascii="TimesNewRoman" w:eastAsia="黑体" w:hAnsi="TimesNewRoman" w:cs="TimesNewRoman" w:hint="eastAsia"/>
          <w:bCs/>
          <w:sz w:val="36"/>
          <w:szCs w:val="36"/>
        </w:rPr>
        <w:t>年单位预算情况说明</w:t>
      </w:r>
    </w:p>
    <w:p w:rsidR="009E4583" w:rsidRDefault="009E4583"/>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年收支总表的说明</w:t>
      </w:r>
    </w:p>
    <w:p w:rsidR="009E4583" w:rsidRDefault="009B5444">
      <w:pPr>
        <w:pStyle w:val="a5"/>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按照综合预算的原则，淮北市企业服务中心所有收入和支出均纳入单位预算管理。淮北市企业服务中心</w:t>
      </w:r>
      <w:r>
        <w:rPr>
          <w:rFonts w:ascii="TimesNewRoman" w:eastAsia="仿宋_GB2312" w:hAnsi="TimesNewRoman" w:cs="TimesNewRoman" w:hint="eastAsia"/>
          <w:sz w:val="32"/>
          <w:szCs w:val="32"/>
        </w:rPr>
        <w:t>2025</w:t>
      </w:r>
      <w:r>
        <w:rPr>
          <w:rFonts w:ascii="TimesNewRoman" w:eastAsia="仿宋_GB2312" w:hAnsi="TimesNewRoman" w:cs="TimesNewRoman" w:hint="eastAsia"/>
          <w:sz w:val="32"/>
          <w:szCs w:val="32"/>
        </w:rPr>
        <w:t>年收支总预算</w:t>
      </w:r>
      <w:r>
        <w:rPr>
          <w:rFonts w:ascii="TimesNewRoman" w:eastAsia="仿宋_GB2312" w:hAnsi="TimesNewRoman" w:cs="TimesNewRoman" w:hint="eastAsia"/>
          <w:sz w:val="32"/>
          <w:szCs w:val="32"/>
        </w:rPr>
        <w:t>657.86</w:t>
      </w:r>
      <w:r>
        <w:rPr>
          <w:rFonts w:ascii="TimesNewRoman" w:eastAsia="仿宋_GB2312" w:hAnsi="TimesNewRoman" w:cs="TimesNewRoman" w:hint="eastAsia"/>
          <w:sz w:val="32"/>
          <w:szCs w:val="32"/>
        </w:rPr>
        <w:t>万元，收入全部是一般公共预算拨款收入</w:t>
      </w:r>
      <w:r>
        <w:rPr>
          <w:rFonts w:ascii="TimesNewRoman" w:eastAsia="仿宋_GB2312" w:hAnsi="TimesNewRoman" w:cs="TimesNewRoman" w:hint="eastAsia"/>
          <w:sz w:val="32"/>
          <w:szCs w:val="32"/>
        </w:rPr>
        <w:t>657.86</w:t>
      </w:r>
      <w:r>
        <w:rPr>
          <w:rFonts w:ascii="TimesNewRoman" w:eastAsia="仿宋_GB2312" w:hAnsi="TimesNewRoman" w:cs="TimesNewRoman" w:hint="eastAsia"/>
          <w:sz w:val="32"/>
          <w:szCs w:val="32"/>
        </w:rPr>
        <w:t>万元，支出包括：社会保障和就业支出、卫生健康支出、资源勘探工业信息等支出、住房保障支出。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年收入总表的说明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sz w:val="32"/>
          <w:szCs w:val="32"/>
        </w:rPr>
        <w:t>657.86</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sz w:val="32"/>
          <w:szCs w:val="32"/>
        </w:rPr>
        <w:t>657.86</w:t>
      </w:r>
      <w:r>
        <w:rPr>
          <w:rFonts w:ascii="TimesNewRoman" w:eastAsia="仿宋_GB2312" w:hAnsi="TimesNewRoman" w:cs="TimesNewRoman" w:hint="eastAsia"/>
          <w:kern w:val="0"/>
          <w:sz w:val="32"/>
          <w:szCs w:val="32"/>
        </w:rPr>
        <w:t>万元。</w:t>
      </w:r>
    </w:p>
    <w:p w:rsidR="009E4583" w:rsidRDefault="009B544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sz w:val="32"/>
          <w:szCs w:val="32"/>
        </w:rPr>
        <w:t>657.86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Pr>
          <w:rFonts w:ascii="TimesNewRoman" w:eastAsia="仿宋_GB2312" w:hAnsi="TimesNewRoman" w:cs="TimesNewRoman" w:hint="eastAsia"/>
          <w:sz w:val="32"/>
          <w:szCs w:val="32"/>
        </w:rPr>
        <w:t>657.86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26.87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3.92%</w:t>
      </w:r>
      <w:r>
        <w:rPr>
          <w:rFonts w:ascii="TimesNewRoman" w:eastAsia="仿宋_GB2312" w:hAnsi="TimesNewRoman" w:cs="TimesNewRoman" w:hint="eastAsia"/>
          <w:kern w:val="0"/>
          <w:sz w:val="32"/>
          <w:szCs w:val="32"/>
        </w:rPr>
        <w:t>，原因主要是</w:t>
      </w:r>
      <w:r>
        <w:rPr>
          <w:rFonts w:ascii="仿宋_GB2312" w:eastAsia="仿宋_GB2312" w:hAnsi="仿宋" w:hint="eastAsia"/>
          <w:sz w:val="32"/>
          <w:szCs w:val="32"/>
        </w:rPr>
        <w:t>节约开支，压缩经费，人员变动</w:t>
      </w:r>
      <w:r>
        <w:rPr>
          <w:rFonts w:ascii="TimesNewRoman" w:eastAsia="仿宋_GB2312" w:hAnsi="TimesNewRoman" w:cs="TimesNewRoman" w:hint="eastAsia"/>
          <w:kern w:val="0"/>
          <w:sz w:val="32"/>
          <w:szCs w:val="32"/>
        </w:rPr>
        <w:t>；政府性基金预算拨款收入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lastRenderedPageBreak/>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，原因主要是本单位无政府性基金预算拨款收入；财政专户管理资金收入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，原因主要是本单位无财政专户管理资金收入。</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年支出总表的说明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年支出预算</w:t>
      </w:r>
      <w:r>
        <w:rPr>
          <w:rFonts w:ascii="TimesNewRoman" w:eastAsia="仿宋_GB2312" w:hAnsi="TimesNewRoman" w:cs="TimesNewRoman" w:hint="eastAsia"/>
          <w:sz w:val="32"/>
          <w:szCs w:val="32"/>
        </w:rPr>
        <w:t>657.86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26.87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3.92%</w:t>
      </w:r>
      <w:r>
        <w:rPr>
          <w:rFonts w:ascii="TimesNewRoman" w:eastAsia="仿宋_GB2312" w:hAnsi="TimesNewRoman" w:cs="TimesNewRoman" w:hint="eastAsia"/>
          <w:kern w:val="0"/>
          <w:sz w:val="32"/>
          <w:szCs w:val="32"/>
        </w:rPr>
        <w:t>，原因主要是</w:t>
      </w:r>
      <w:r>
        <w:rPr>
          <w:rFonts w:ascii="仿宋_GB2312" w:eastAsia="仿宋_GB2312" w:hAnsi="仿宋" w:hint="eastAsia"/>
          <w:sz w:val="32"/>
          <w:szCs w:val="32"/>
        </w:rPr>
        <w:t>人员变动，节约开支，压缩经费</w:t>
      </w:r>
      <w:r>
        <w:rPr>
          <w:rFonts w:ascii="TimesNewRoman" w:eastAsia="仿宋_GB2312" w:hAnsi="TimesNewRoman" w:cs="TimesNewRoman" w:hint="eastAsia"/>
          <w:kern w:val="0"/>
          <w:sz w:val="32"/>
          <w:szCs w:val="32"/>
        </w:rPr>
        <w:t>。其中，基本支出</w:t>
      </w:r>
      <w:r>
        <w:rPr>
          <w:rFonts w:ascii="TimesNewRoman" w:eastAsia="仿宋_GB2312" w:hAnsi="TimesNewRoman" w:cs="TimesNewRoman" w:hint="eastAsia"/>
          <w:kern w:val="0"/>
          <w:sz w:val="32"/>
          <w:szCs w:val="32"/>
        </w:rPr>
        <w:t>649.56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98.74%</w:t>
      </w:r>
      <w:r>
        <w:rPr>
          <w:rFonts w:ascii="TimesNewRoman" w:eastAsia="仿宋_GB2312" w:hAnsi="TimesNewRoman" w:cs="TimesNewRoman" w:hint="eastAsia"/>
          <w:kern w:val="0"/>
          <w:sz w:val="32"/>
          <w:szCs w:val="32"/>
        </w:rPr>
        <w:t>，主要用于保障机构日常运转、完成日常工作任务；项目支出</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1.26%</w:t>
      </w:r>
      <w:r>
        <w:rPr>
          <w:rFonts w:ascii="TimesNewRoman" w:eastAsia="仿宋_GB2312" w:hAnsi="TimesNewRoman" w:cs="TimesNewRoman" w:hint="eastAsia"/>
          <w:kern w:val="0"/>
          <w:sz w:val="32"/>
          <w:szCs w:val="32"/>
        </w:rPr>
        <w:t>，主要用于</w:t>
      </w:r>
      <w:r>
        <w:rPr>
          <w:rFonts w:ascii="仿宋_GB2312" w:eastAsia="仿宋_GB2312" w:hAnsi="仿宋" w:hint="eastAsia"/>
          <w:sz w:val="32"/>
          <w:szCs w:val="32"/>
        </w:rPr>
        <w:t>办公大楼运行等工作经费、企业离休人员管理服务费、行业职能和管理服务费</w:t>
      </w:r>
      <w:r>
        <w:rPr>
          <w:rFonts w:ascii="TimesNewRoman" w:eastAsia="仿宋_GB2312" w:hAnsi="TimesNewRoman" w:cs="TimesNewRoman" w:hint="eastAsia"/>
          <w:kern w:val="0"/>
          <w:sz w:val="32"/>
          <w:szCs w:val="32"/>
        </w:rPr>
        <w:t>。</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年财政拨款收支总表的说明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kern w:val="0"/>
          <w:sz w:val="32"/>
          <w:szCs w:val="32"/>
        </w:rPr>
        <w:t>657.86</w:t>
      </w:r>
      <w:r>
        <w:rPr>
          <w:rFonts w:ascii="TimesNewRoman" w:eastAsia="仿宋_GB2312" w:hAnsi="TimesNewRoman" w:cs="TimesNewRoman" w:hint="eastAsia"/>
          <w:kern w:val="0"/>
          <w:sz w:val="32"/>
          <w:szCs w:val="32"/>
        </w:rPr>
        <w:t>万元。收入按资金来源分为：一般公共预算拨款</w:t>
      </w:r>
      <w:r>
        <w:rPr>
          <w:rFonts w:ascii="TimesNewRoman" w:eastAsia="仿宋_GB2312" w:hAnsi="TimesNewRoman" w:cs="TimesNewRoman" w:hint="eastAsia"/>
          <w:kern w:val="0"/>
          <w:sz w:val="32"/>
          <w:szCs w:val="32"/>
        </w:rPr>
        <w:t>657.86</w:t>
      </w:r>
      <w:r>
        <w:rPr>
          <w:rFonts w:ascii="TimesNewRoman" w:eastAsia="仿宋_GB2312" w:hAnsi="TimesNewRoman" w:cs="TimesNewRoman" w:hint="eastAsia"/>
          <w:kern w:val="0"/>
          <w:sz w:val="32"/>
          <w:szCs w:val="32"/>
        </w:rPr>
        <w:t>万元、政府性基金预算拨款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万元；按资金年度分为：本年财政拨款收入</w:t>
      </w:r>
      <w:r>
        <w:rPr>
          <w:rFonts w:ascii="TimesNewRoman" w:eastAsia="仿宋_GB2312" w:hAnsi="TimesNewRoman" w:cs="TimesNewRoman" w:hint="eastAsia"/>
          <w:kern w:val="0"/>
          <w:sz w:val="32"/>
          <w:szCs w:val="32"/>
        </w:rPr>
        <w:t>657.86</w:t>
      </w:r>
      <w:r>
        <w:rPr>
          <w:rFonts w:ascii="TimesNewRoman" w:eastAsia="仿宋_GB2312" w:hAnsi="TimesNewRoman" w:cs="TimesNewRoman" w:hint="eastAsia"/>
          <w:kern w:val="0"/>
          <w:sz w:val="32"/>
          <w:szCs w:val="32"/>
        </w:rPr>
        <w:t>万元。支出按功能分类分为：社会保障和就业支出</w:t>
      </w:r>
      <w:r>
        <w:rPr>
          <w:rFonts w:ascii="TimesNewRoman" w:eastAsia="仿宋_GB2312" w:hAnsi="TimesNewRoman" w:cs="TimesNewRoman" w:hint="eastAsia"/>
          <w:kern w:val="0"/>
          <w:sz w:val="32"/>
          <w:szCs w:val="32"/>
        </w:rPr>
        <w:t>433.08</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65.83%</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27.48</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4.18%</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166.66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25.33%</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30.65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4.66%</w:t>
      </w:r>
      <w:r>
        <w:rPr>
          <w:rFonts w:ascii="TimesNewRoman" w:eastAsia="仿宋_GB2312" w:hAnsi="TimesNewRoman" w:cs="TimesNewRoman" w:hint="eastAsia"/>
          <w:kern w:val="0"/>
          <w:sz w:val="32"/>
          <w:szCs w:val="32"/>
        </w:rPr>
        <w:t>。</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年一般公共预算支出表的说明</w:t>
      </w:r>
    </w:p>
    <w:p w:rsidR="009E4583" w:rsidRDefault="009B5444">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kern w:val="0"/>
          <w:sz w:val="32"/>
          <w:szCs w:val="32"/>
        </w:rPr>
        <w:t>657.86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26.87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3.92%</w:t>
      </w:r>
      <w:r>
        <w:rPr>
          <w:rFonts w:ascii="TimesNewRoman" w:eastAsia="仿宋_GB2312" w:hAnsi="TimesNewRoman" w:cs="TimesNewRoman" w:hint="eastAsia"/>
          <w:kern w:val="0"/>
          <w:sz w:val="32"/>
          <w:szCs w:val="32"/>
        </w:rPr>
        <w:t>，主要原因：一是</w:t>
      </w:r>
      <w:r>
        <w:rPr>
          <w:rFonts w:ascii="仿宋_GB2312" w:eastAsia="仿宋_GB2312" w:hAnsi="仿宋" w:hint="eastAsia"/>
          <w:sz w:val="32"/>
          <w:szCs w:val="32"/>
        </w:rPr>
        <w:t>节约开支，压缩经费</w:t>
      </w:r>
      <w:r>
        <w:rPr>
          <w:rFonts w:ascii="TimesNewRoman" w:eastAsia="仿宋_GB2312" w:hAnsi="TimesNewRoman" w:cs="TimesNewRoman" w:hint="eastAsia"/>
          <w:kern w:val="0"/>
          <w:sz w:val="32"/>
          <w:szCs w:val="32"/>
        </w:rPr>
        <w:t>；二是人员变动。</w:t>
      </w:r>
    </w:p>
    <w:p w:rsidR="009E4583" w:rsidRDefault="009B5444">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433.08</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65.83%</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27.48</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4.18%</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166.66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25.33%</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30.65</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4.66%</w:t>
      </w:r>
      <w:r>
        <w:rPr>
          <w:rFonts w:ascii="TimesNewRoman" w:eastAsia="仿宋_GB2312" w:hAnsi="TimesNewRoman" w:cs="TimesNewRoman" w:hint="eastAsia"/>
          <w:kern w:val="0"/>
          <w:sz w:val="32"/>
          <w:szCs w:val="32"/>
        </w:rPr>
        <w:t>。</w:t>
      </w:r>
    </w:p>
    <w:p w:rsidR="009E4583" w:rsidRDefault="009B5444">
      <w:pPr>
        <w:pStyle w:val="a5"/>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、社会保障和就业支出（类）行政事业单位养老支出（款）行政单位离退休（项）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345.15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18.69</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5.14%</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、社会保障和就业支出（类）行政事业单位养老支出（款）机关事业单位基本养老保险缴费支出（项）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20.67</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0.56</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2.78%</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、社会保障和就业支出（类）行政事业单位养老支出（款）机关事业单位职业年金缴费支出（项）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10.33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0.28</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2.78%</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、社会保障和就业支出（类）其他社会保障和就业支出（款）其他社会保障和就业支出（项）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56.93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3.67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6.06%</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5</w:t>
      </w:r>
      <w:r>
        <w:rPr>
          <w:rFonts w:ascii="TimesNewRoman" w:eastAsia="仿宋_GB2312" w:hAnsi="TimesNewRoman" w:cs="TimesNewRoman" w:hint="eastAsia"/>
          <w:kern w:val="0"/>
          <w:sz w:val="32"/>
          <w:szCs w:val="32"/>
        </w:rPr>
        <w:t>、卫生健康支出（类）行政事业单位医疗（款）行政单位医疗（项）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6.81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0.92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11.90%</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、卫生健康支出（类）行政事业单位医疗（款）公务员医疗补助（项）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20.67</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0.20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0.98%</w:t>
      </w:r>
      <w:r>
        <w:rPr>
          <w:rFonts w:ascii="TimesNewRoman" w:eastAsia="仿宋_GB2312" w:hAnsi="TimesNewRoman" w:cs="TimesNewRoman" w:hint="eastAsia"/>
          <w:kern w:val="0"/>
          <w:sz w:val="32"/>
          <w:szCs w:val="32"/>
        </w:rPr>
        <w:t>，原因主要是人员变动。</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、资源勘探工业信息等支出（类）工业和信息产业（款）行政运行（项）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151.14</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151.14</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，原因主要是功能科目调整。</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、资源勘探工业信息等支出（类）工业和信息产业（款）一般行政管理事务（项）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，原因主要是功能科目调整。</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、资源勘探工业信息等支出（类）工业和信息产业（款）事业运行（项）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7.22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7.22</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，原因主要是功能科目调整。</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、住房保障支出（类）住房改革支出（款）住房公积金（项）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18.39</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1.73</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8.62%</w:t>
      </w:r>
      <w:r>
        <w:rPr>
          <w:rFonts w:ascii="TimesNewRoman" w:eastAsia="仿宋_GB2312" w:hAnsi="TimesNewRoman" w:cs="TimesNewRoman" w:hint="eastAsia"/>
          <w:kern w:val="0"/>
          <w:sz w:val="32"/>
          <w:szCs w:val="32"/>
        </w:rPr>
        <w:t>，原因主要是人员变动、</w:t>
      </w:r>
      <w:r>
        <w:rPr>
          <w:rFonts w:ascii="仿宋_GB2312" w:eastAsia="仿宋_GB2312" w:hint="eastAsia"/>
          <w:sz w:val="32"/>
          <w:szCs w:val="32"/>
        </w:rPr>
        <w:t>基数调整</w:t>
      </w:r>
      <w:r>
        <w:rPr>
          <w:rFonts w:ascii="TimesNewRoman" w:eastAsia="仿宋_GB2312" w:hAnsi="TimesNewRoman" w:cs="TimesNewRoman" w:hint="eastAsia"/>
          <w:kern w:val="0"/>
          <w:sz w:val="32"/>
          <w:szCs w:val="32"/>
        </w:rPr>
        <w:t>。</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11</w:t>
      </w:r>
      <w:r>
        <w:rPr>
          <w:rFonts w:ascii="TimesNewRoman" w:eastAsia="仿宋_GB2312" w:hAnsi="TimesNewRoman" w:cs="TimesNewRoman" w:hint="eastAsia"/>
          <w:kern w:val="0"/>
          <w:sz w:val="32"/>
          <w:szCs w:val="32"/>
        </w:rPr>
        <w:t>、住房保障支出（类）住房改革支出（款）提租补贴（项）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4.60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4.60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，原因主要是功能科目调整。</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、住房保障支出（类）住房改革支出（款）购房补贴（项）</w:t>
      </w:r>
      <w:r>
        <w:rPr>
          <w:rFonts w:ascii="TimesNewRoman" w:eastAsia="仿宋_GB2312" w:hAnsi="TimesNewRoman" w:cs="TimesNewRoman" w:hint="eastAsia"/>
          <w:kern w:val="0"/>
          <w:sz w:val="32"/>
          <w:szCs w:val="32"/>
        </w:rPr>
        <w:lastRenderedPageBreak/>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7.66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0.72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8.62%</w:t>
      </w:r>
      <w:r>
        <w:rPr>
          <w:rFonts w:ascii="TimesNewRoman" w:eastAsia="仿宋_GB2312" w:hAnsi="TimesNewRoman" w:cs="TimesNewRoman" w:hint="eastAsia"/>
          <w:kern w:val="0"/>
          <w:sz w:val="32"/>
          <w:szCs w:val="32"/>
        </w:rPr>
        <w:t>，原因主要是人员变动、</w:t>
      </w:r>
      <w:r>
        <w:rPr>
          <w:rFonts w:ascii="仿宋_GB2312" w:eastAsia="仿宋_GB2312" w:hint="eastAsia"/>
          <w:sz w:val="32"/>
          <w:szCs w:val="32"/>
        </w:rPr>
        <w:t>基数调整</w:t>
      </w:r>
      <w:r>
        <w:rPr>
          <w:rFonts w:ascii="TimesNewRoman" w:eastAsia="仿宋_GB2312" w:hAnsi="TimesNewRoman" w:cs="TimesNewRoman" w:hint="eastAsia"/>
          <w:kern w:val="0"/>
          <w:sz w:val="32"/>
          <w:szCs w:val="32"/>
        </w:rPr>
        <w:t>。</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年一般公共预算基本支出表的说明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年一般公共预算基本支出</w:t>
      </w:r>
      <w:r>
        <w:rPr>
          <w:rFonts w:ascii="TimesNewRoman" w:eastAsia="仿宋_GB2312" w:hAnsi="TimesNewRoman" w:cs="TimesNewRoman" w:hint="eastAsia"/>
          <w:kern w:val="0"/>
          <w:sz w:val="32"/>
          <w:szCs w:val="32"/>
        </w:rPr>
        <w:t>649.56</w:t>
      </w:r>
      <w:r>
        <w:rPr>
          <w:rFonts w:ascii="TimesNewRoman" w:eastAsia="仿宋_GB2312" w:hAnsi="TimesNewRoman" w:cs="TimesNewRoman" w:hint="eastAsia"/>
          <w:kern w:val="0"/>
          <w:sz w:val="32"/>
          <w:szCs w:val="32"/>
        </w:rPr>
        <w:t>万元，其中，人员经费</w:t>
      </w:r>
      <w:r>
        <w:rPr>
          <w:rFonts w:ascii="TimesNewRoman" w:eastAsia="仿宋_GB2312" w:hAnsi="TimesNewRoman" w:cs="TimesNewRoman" w:hint="eastAsia"/>
          <w:kern w:val="0"/>
          <w:sz w:val="32"/>
          <w:szCs w:val="32"/>
        </w:rPr>
        <w:t>629.26</w:t>
      </w:r>
      <w:r>
        <w:rPr>
          <w:rFonts w:ascii="TimesNewRoman" w:eastAsia="仿宋_GB2312" w:hAnsi="TimesNewRoman" w:cs="TimesNewRoman" w:hint="eastAsia"/>
          <w:kern w:val="0"/>
          <w:sz w:val="32"/>
          <w:szCs w:val="32"/>
        </w:rPr>
        <w:t>万元，公用经费</w:t>
      </w:r>
      <w:r>
        <w:rPr>
          <w:rFonts w:ascii="TimesNewRoman" w:eastAsia="仿宋_GB2312" w:hAnsi="TimesNewRoman" w:cs="TimesNewRoman" w:hint="eastAsia"/>
          <w:kern w:val="0"/>
          <w:sz w:val="32"/>
          <w:szCs w:val="32"/>
        </w:rPr>
        <w:t>20.30</w:t>
      </w:r>
      <w:r>
        <w:rPr>
          <w:rFonts w:ascii="TimesNewRoman" w:eastAsia="仿宋_GB2312" w:hAnsi="TimesNewRoman" w:cs="TimesNewRoman" w:hint="eastAsia"/>
          <w:kern w:val="0"/>
          <w:sz w:val="32"/>
          <w:szCs w:val="32"/>
        </w:rPr>
        <w:t>万元。</w:t>
      </w:r>
    </w:p>
    <w:p w:rsidR="009E4583" w:rsidRDefault="009B544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Pr>
          <w:rFonts w:ascii="TimesNewRoman" w:eastAsia="仿宋_GB2312" w:hAnsi="TimesNewRoman" w:cs="TimesNewRoman" w:hint="eastAsia"/>
          <w:b/>
          <w:kern w:val="0"/>
          <w:sz w:val="32"/>
          <w:szCs w:val="32"/>
        </w:rPr>
        <w:t>629.26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住房公积金、办公费、工会经费、福利费、其他商品和服务支出、离休费、退休费、生活补助、医疗费补助、奖励金、对其他个人和家庭的补助支出。</w:t>
      </w:r>
    </w:p>
    <w:p w:rsidR="009E4583" w:rsidRDefault="009B5444">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Pr>
          <w:rFonts w:ascii="TimesNewRoman" w:eastAsia="仿宋_GB2312" w:hAnsi="TimesNewRoman" w:cs="TimesNewRoman" w:hint="eastAsia"/>
          <w:b/>
          <w:kern w:val="0"/>
          <w:sz w:val="32"/>
          <w:szCs w:val="32"/>
        </w:rPr>
        <w:t>20.30</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主要包括：办公费、差旅费、维修（护）费、公务接待费、公务用车运行维护费、其他商品服务支出。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年政府性基金预算支出表的说明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年没有政府性基金预算拨款收入，也没有使用政府性基金预算拨款安排的支出。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年国有资本经营预算支出表的说明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年没有国有资本经营预算拨款收入，也没有使用国有资本经营预算拨款安排的支出。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年项目支出表的说明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年预算共安排项目支出</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1.70</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17.00%</w:t>
      </w:r>
      <w:r>
        <w:rPr>
          <w:rFonts w:ascii="TimesNewRoman" w:eastAsia="仿宋_GB2312" w:hAnsi="TimesNewRoman" w:cs="TimesNewRoman" w:hint="eastAsia"/>
          <w:kern w:val="0"/>
          <w:sz w:val="32"/>
          <w:szCs w:val="32"/>
        </w:rPr>
        <w:t>，原因主要是压缩经费。主要包括：本年财政拨款安排</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万元（其中，一般公共预算拨款安排</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万元，政府性基金预算拨款安排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年政府采购支出表的说明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年没有使用一般公共预算拨款、政府性基金预算拨款、国有资本经营预算拨款、财政专户管理资金和单位资金安排的政府采购支出。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年政府购买服务支出表的说明</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年没有安排政府购买服务支出。</w:t>
      </w:r>
    </w:p>
    <w:p w:rsidR="009E4583" w:rsidRDefault="009B5444">
      <w:pPr>
        <w:pStyle w:val="a5"/>
        <w:adjustRightInd w:val="0"/>
        <w:snapToGrid w:val="0"/>
        <w:spacing w:line="560" w:lineRule="exact"/>
        <w:ind w:firstLineChars="200" w:firstLine="640"/>
        <w:rPr>
          <w:rFonts w:ascii="TimesNewRoman" w:eastAsia="黑体" w:hAnsi="TimesNewRoman" w:cs="TimesNewRoman"/>
          <w:sz w:val="32"/>
          <w:szCs w:val="32"/>
        </w:rPr>
      </w:pPr>
      <w:r>
        <w:rPr>
          <w:rFonts w:ascii="TimesNewRoman" w:eastAsia="黑体" w:hAnsi="TimesNewRoman" w:cs="TimesNewRoman"/>
          <w:sz w:val="32"/>
          <w:szCs w:val="32"/>
        </w:rPr>
        <w:t>十</w:t>
      </w:r>
      <w:r>
        <w:rPr>
          <w:rFonts w:ascii="TimesNewRoman" w:eastAsia="黑体" w:hAnsi="TimesNewRoman" w:cs="TimesNewRoman" w:hint="eastAsia"/>
          <w:sz w:val="32"/>
          <w:szCs w:val="32"/>
        </w:rPr>
        <w:t>二</w:t>
      </w:r>
      <w:r>
        <w:rPr>
          <w:rFonts w:ascii="TimesNewRoman" w:eastAsia="黑体" w:hAnsi="TimesNewRoman" w:cs="TimesNewRoman"/>
          <w:sz w:val="32"/>
          <w:szCs w:val="32"/>
        </w:rPr>
        <w:t>、关于</w:t>
      </w:r>
      <w:r>
        <w:rPr>
          <w:rFonts w:ascii="TimesNewRoman" w:eastAsia="黑体" w:hAnsi="TimesNewRoman" w:cs="TimesNewRoman" w:hint="eastAsia"/>
          <w:sz w:val="32"/>
          <w:szCs w:val="32"/>
        </w:rPr>
        <w:t>2025</w:t>
      </w:r>
      <w:r>
        <w:rPr>
          <w:rFonts w:ascii="TimesNewRoman" w:eastAsia="黑体" w:hAnsi="TimesNewRoman" w:cs="TimesNewRoman"/>
          <w:sz w:val="32"/>
          <w:szCs w:val="32"/>
        </w:rPr>
        <w:t>年通用资产配置支出表的说明</w:t>
      </w:r>
    </w:p>
    <w:p w:rsidR="009E4583" w:rsidRDefault="009B5444">
      <w:pPr>
        <w:pStyle w:val="a5"/>
        <w:adjustRightInd w:val="0"/>
        <w:snapToGrid w:val="0"/>
        <w:spacing w:line="560" w:lineRule="exact"/>
        <w:ind w:firstLineChars="200" w:firstLine="640"/>
        <w:outlineLvl w:val="0"/>
        <w:rPr>
          <w:rFonts w:ascii="TimesNewRoman" w:eastAsia="仿宋_GB2312" w:hAnsi="TimesNewRoman" w:cs="TimesNewRoman"/>
          <w:sz w:val="32"/>
          <w:szCs w:val="32"/>
        </w:rPr>
      </w:pPr>
      <w:r>
        <w:rPr>
          <w:rFonts w:ascii="TimesNewRoman" w:eastAsia="仿宋_GB2312" w:hAnsi="TimesNewRoman" w:cs="TimesNewRoman" w:hint="eastAsia"/>
          <w:sz w:val="32"/>
          <w:szCs w:val="32"/>
        </w:rPr>
        <w:t>淮北市企业服务中心</w:t>
      </w:r>
      <w:r>
        <w:rPr>
          <w:rFonts w:ascii="TimesNewRoman" w:eastAsia="仿宋_GB2312" w:hAnsi="TimesNewRoman" w:cs="TimesNewRoman" w:hint="eastAsia"/>
          <w:sz w:val="32"/>
          <w:szCs w:val="32"/>
        </w:rPr>
        <w:t>2025</w:t>
      </w:r>
      <w:r>
        <w:rPr>
          <w:rFonts w:ascii="TimesNewRoman" w:eastAsia="仿宋_GB2312" w:hAnsi="TimesNewRoman" w:cs="TimesNewRoman"/>
          <w:sz w:val="32"/>
          <w:szCs w:val="32"/>
        </w:rPr>
        <w:t>年没有安排通用资产配置支出。</w:t>
      </w:r>
    </w:p>
    <w:p w:rsidR="009E4583" w:rsidRDefault="009B5444">
      <w:pPr>
        <w:pStyle w:val="a5"/>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十三、其他重要事项情况说明</w:t>
      </w:r>
    </w:p>
    <w:p w:rsidR="009E4583" w:rsidRDefault="009B544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、“行业职能和管理服务费”项目。</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）项目概述。机关离休干部</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人，退休干部</w:t>
      </w:r>
      <w:r>
        <w:rPr>
          <w:rFonts w:ascii="TimesNewRoman" w:eastAsia="仿宋_GB2312" w:hAnsi="TimesNewRoman" w:cs="TimesNewRoman" w:hint="eastAsia"/>
          <w:kern w:val="0"/>
          <w:sz w:val="32"/>
          <w:szCs w:val="32"/>
        </w:rPr>
        <w:t>90</w:t>
      </w:r>
      <w:r>
        <w:rPr>
          <w:rFonts w:ascii="TimesNewRoman" w:eastAsia="仿宋_GB2312" w:hAnsi="TimesNewRoman" w:cs="TimesNewRoman" w:hint="eastAsia"/>
          <w:kern w:val="0"/>
          <w:sz w:val="32"/>
          <w:szCs w:val="32"/>
        </w:rPr>
        <w:t>人，企业离休人员</w:t>
      </w:r>
      <w:r>
        <w:rPr>
          <w:rFonts w:ascii="TimesNewRoman" w:eastAsia="仿宋_GB2312" w:hAnsi="TimesNewRoman" w:cs="TimesNewRoman" w:hint="eastAsia"/>
          <w:kern w:val="0"/>
          <w:sz w:val="32"/>
          <w:szCs w:val="32"/>
        </w:rPr>
        <w:t>17</w:t>
      </w:r>
      <w:r>
        <w:rPr>
          <w:rFonts w:ascii="TimesNewRoman" w:eastAsia="仿宋_GB2312" w:hAnsi="TimesNewRoman" w:cs="TimesNewRoman" w:hint="eastAsia"/>
          <w:kern w:val="0"/>
          <w:sz w:val="32"/>
          <w:szCs w:val="32"/>
        </w:rPr>
        <w:t>人，企业退休县干</w:t>
      </w:r>
      <w:r>
        <w:rPr>
          <w:rFonts w:ascii="TimesNewRoman" w:eastAsia="仿宋_GB2312" w:hAnsi="TimesNewRoman" w:cs="TimesNewRoman" w:hint="eastAsia"/>
          <w:kern w:val="0"/>
          <w:sz w:val="32"/>
          <w:szCs w:val="32"/>
        </w:rPr>
        <w:t>24</w:t>
      </w:r>
      <w:r>
        <w:rPr>
          <w:rFonts w:ascii="TimesNewRoman" w:eastAsia="仿宋_GB2312" w:hAnsi="TimesNewRoman" w:cs="TimesNewRoman" w:hint="eastAsia"/>
          <w:kern w:val="0"/>
          <w:sz w:val="32"/>
          <w:szCs w:val="32"/>
        </w:rPr>
        <w:t>人，对保障对象的慰问等管理服务工作。</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淮</w:t>
      </w:r>
      <w:r>
        <w:rPr>
          <w:rFonts w:ascii="TimesNewRoman" w:eastAsia="仿宋_GB2312" w:hAnsi="TimesNewRoman" w:cs="TimesNewRoman" w:hint="eastAsia"/>
          <w:kern w:val="0"/>
          <w:sz w:val="32"/>
          <w:szCs w:val="32"/>
        </w:rPr>
        <w:t>编【</w:t>
      </w:r>
      <w:r>
        <w:rPr>
          <w:rFonts w:ascii="TimesNewRoman" w:eastAsia="仿宋_GB2312" w:hAnsi="TimesNewRoman" w:cs="TimesNewRoman" w:hint="eastAsia"/>
          <w:kern w:val="0"/>
          <w:sz w:val="32"/>
          <w:szCs w:val="32"/>
        </w:rPr>
        <w:t>2008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号、淮编【</w:t>
      </w:r>
      <w:r>
        <w:rPr>
          <w:rFonts w:ascii="TimesNewRoman" w:eastAsia="仿宋_GB2312" w:hAnsi="TimesNewRoman" w:cs="TimesNewRoman" w:hint="eastAsia"/>
          <w:kern w:val="0"/>
          <w:sz w:val="32"/>
          <w:szCs w:val="32"/>
        </w:rPr>
        <w:t>2011</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32</w:t>
      </w:r>
      <w:r>
        <w:rPr>
          <w:rFonts w:ascii="TimesNewRoman" w:eastAsia="仿宋_GB2312" w:hAnsi="TimesNewRoman" w:cs="TimesNewRoman" w:hint="eastAsia"/>
          <w:kern w:val="0"/>
          <w:sz w:val="32"/>
          <w:szCs w:val="32"/>
        </w:rPr>
        <w:t>号</w:t>
      </w:r>
      <w:r>
        <w:rPr>
          <w:rFonts w:ascii="仿宋_GB2312" w:eastAsia="仿宋_GB2312" w:hint="eastAsia"/>
          <w:sz w:val="32"/>
          <w:szCs w:val="32"/>
        </w:rPr>
        <w:t>。</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2025</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）项目内容。机关离休干部</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人，退休干部</w:t>
      </w:r>
      <w:r>
        <w:rPr>
          <w:rFonts w:ascii="TimesNewRoman" w:eastAsia="仿宋_GB2312" w:hAnsi="TimesNewRoman" w:cs="TimesNewRoman" w:hint="eastAsia"/>
          <w:kern w:val="0"/>
          <w:sz w:val="32"/>
          <w:szCs w:val="32"/>
        </w:rPr>
        <w:t>90</w:t>
      </w:r>
      <w:r>
        <w:rPr>
          <w:rFonts w:ascii="TimesNewRoman" w:eastAsia="仿宋_GB2312" w:hAnsi="TimesNewRoman" w:cs="TimesNewRoman" w:hint="eastAsia"/>
          <w:kern w:val="0"/>
          <w:sz w:val="32"/>
          <w:szCs w:val="32"/>
        </w:rPr>
        <w:t>人，企业离休人员</w:t>
      </w:r>
      <w:r>
        <w:rPr>
          <w:rFonts w:ascii="TimesNewRoman" w:eastAsia="仿宋_GB2312" w:hAnsi="TimesNewRoman" w:cs="TimesNewRoman" w:hint="eastAsia"/>
          <w:kern w:val="0"/>
          <w:sz w:val="32"/>
          <w:szCs w:val="32"/>
        </w:rPr>
        <w:t>17</w:t>
      </w:r>
      <w:r>
        <w:rPr>
          <w:rFonts w:ascii="TimesNewRoman" w:eastAsia="仿宋_GB2312" w:hAnsi="TimesNewRoman" w:cs="TimesNewRoman" w:hint="eastAsia"/>
          <w:kern w:val="0"/>
          <w:sz w:val="32"/>
          <w:szCs w:val="32"/>
        </w:rPr>
        <w:t>人，企业退休县干</w:t>
      </w:r>
      <w:r>
        <w:rPr>
          <w:rFonts w:ascii="TimesNewRoman" w:eastAsia="仿宋_GB2312" w:hAnsi="TimesNewRoman" w:cs="TimesNewRoman" w:hint="eastAsia"/>
          <w:kern w:val="0"/>
          <w:sz w:val="32"/>
          <w:szCs w:val="32"/>
        </w:rPr>
        <w:t>24</w:t>
      </w:r>
      <w:r>
        <w:rPr>
          <w:rFonts w:ascii="TimesNewRoman" w:eastAsia="仿宋_GB2312" w:hAnsi="TimesNewRoman" w:cs="TimesNewRoman" w:hint="eastAsia"/>
          <w:kern w:val="0"/>
          <w:sz w:val="32"/>
          <w:szCs w:val="32"/>
        </w:rPr>
        <w:t>人，对保障对象的慰问等管理服务工作。</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3.00</w:t>
      </w:r>
      <w:r>
        <w:rPr>
          <w:rFonts w:ascii="仿宋_GB2312" w:eastAsia="仿宋_GB2312" w:hAnsi="楷体" w:hint="eastAsia"/>
          <w:sz w:val="32"/>
          <w:szCs w:val="32"/>
        </w:rPr>
        <w:t>万元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23"/>
        <w:gridCol w:w="282"/>
        <w:gridCol w:w="1565"/>
        <w:gridCol w:w="1784"/>
        <w:gridCol w:w="488"/>
        <w:gridCol w:w="1360"/>
        <w:gridCol w:w="2380"/>
      </w:tblGrid>
      <w:tr w:rsidR="009E4583">
        <w:trPr>
          <w:trHeight w:val="253"/>
        </w:trPr>
        <w:tc>
          <w:tcPr>
            <w:tcW w:w="9020" w:type="dxa"/>
            <w:gridSpan w:val="8"/>
            <w:tcBorders>
              <w:top w:val="nil"/>
              <w:left w:val="nil"/>
              <w:bottom w:val="nil"/>
              <w:right w:val="nil"/>
            </w:tcBorders>
            <w:vAlign w:val="center"/>
          </w:tcPr>
          <w:p w:rsidR="009E4583" w:rsidRDefault="009B5444">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9E4583">
        <w:trPr>
          <w:trHeight w:val="270"/>
        </w:trPr>
        <w:tc>
          <w:tcPr>
            <w:tcW w:w="9020" w:type="dxa"/>
            <w:gridSpan w:val="8"/>
            <w:tcBorders>
              <w:top w:val="nil"/>
              <w:left w:val="nil"/>
              <w:right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（2025年度）                                </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5"/>
            <w:tcBorders>
              <w:tl2br w:val="nil"/>
              <w:tr2bl w:val="nil"/>
            </w:tcBorders>
            <w:vAlign w:val="center"/>
          </w:tcPr>
          <w:p w:rsidR="009E4583" w:rsidRDefault="009B5444">
            <w:pPr>
              <w:jc w:val="center"/>
              <w:rPr>
                <w:rFonts w:ascii="宋体" w:cs="宋体"/>
                <w:sz w:val="20"/>
              </w:rPr>
            </w:pPr>
            <w:r>
              <w:rPr>
                <w:rFonts w:ascii="宋体" w:cs="宋体" w:hint="eastAsia"/>
                <w:sz w:val="20"/>
              </w:rPr>
              <w:t>行业职能和管理服务费</w:t>
            </w:r>
          </w:p>
        </w:tc>
      </w:tr>
      <w:tr w:rsidR="009E4583">
        <w:trPr>
          <w:trHeight w:val="491"/>
        </w:trPr>
        <w:tc>
          <w:tcPr>
            <w:tcW w:w="1443" w:type="dxa"/>
            <w:gridSpan w:val="3"/>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cs="宋体" w:hint="eastAsia"/>
                <w:sz w:val="20"/>
              </w:rPr>
              <w:t>285淮北市工业和信息化局</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9E4583" w:rsidRDefault="009B5444">
            <w:pPr>
              <w:jc w:val="center"/>
            </w:pPr>
            <w:r>
              <w:rPr>
                <w:rFonts w:hint="eastAsia"/>
              </w:rPr>
              <w:t>淮北市企业服务中心</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eastAsia="宋体" w:hAnsi="宋体" w:cs="宋体" w:hint="eastAsia"/>
                <w:color w:val="000000"/>
                <w:kern w:val="0"/>
                <w:sz w:val="20"/>
                <w:szCs w:val="20"/>
              </w:rPr>
              <w:t>1-本级申报项目</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9E4583" w:rsidRDefault="009B5444">
            <w:pPr>
              <w:jc w:val="center"/>
            </w:pPr>
            <w:r>
              <w:rPr>
                <w:rFonts w:hint="eastAsia"/>
              </w:rPr>
              <w:t>2025</w:t>
            </w:r>
            <w:r>
              <w:rPr>
                <w:rFonts w:hint="eastAsia"/>
              </w:rPr>
              <w:t>年度</w:t>
            </w:r>
          </w:p>
        </w:tc>
      </w:tr>
      <w:tr w:rsidR="009E4583">
        <w:trPr>
          <w:trHeight w:val="330"/>
        </w:trPr>
        <w:tc>
          <w:tcPr>
            <w:tcW w:w="1443" w:type="dxa"/>
            <w:gridSpan w:val="3"/>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3.00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3.00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3"/>
            <w:tcBorders>
              <w:tl2br w:val="nil"/>
              <w:tr2bl w:val="nil"/>
            </w:tcBorders>
            <w:vAlign w:val="center"/>
          </w:tcPr>
          <w:p w:rsidR="009E4583" w:rsidRDefault="009E4583">
            <w:pPr>
              <w:jc w:val="center"/>
              <w:rPr>
                <w:rFonts w:ascii="宋体" w:cs="宋体"/>
                <w:sz w:val="20"/>
              </w:rPr>
            </w:pP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3"/>
            <w:tcBorders>
              <w:tl2br w:val="nil"/>
              <w:tr2bl w:val="nil"/>
            </w:tcBorders>
            <w:vAlign w:val="center"/>
          </w:tcPr>
          <w:p w:rsidR="009E4583" w:rsidRDefault="009E4583">
            <w:pPr>
              <w:jc w:val="right"/>
              <w:rPr>
                <w:rFonts w:ascii="宋体" w:cs="宋体"/>
                <w:sz w:val="20"/>
              </w:rPr>
            </w:pPr>
          </w:p>
        </w:tc>
      </w:tr>
      <w:tr w:rsidR="009E4583">
        <w:trPr>
          <w:trHeight w:val="1015"/>
        </w:trPr>
        <w:tc>
          <w:tcPr>
            <w:tcW w:w="438"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7"/>
            <w:tcBorders>
              <w:tl2br w:val="nil"/>
              <w:tr2bl w:val="nil"/>
            </w:tcBorders>
            <w:vAlign w:val="center"/>
          </w:tcPr>
          <w:p w:rsidR="009E4583" w:rsidRDefault="009B5444">
            <w:pPr>
              <w:jc w:val="left"/>
              <w:rPr>
                <w:rFonts w:ascii="宋体" w:cs="宋体"/>
                <w:sz w:val="20"/>
              </w:rPr>
            </w:pPr>
            <w:r>
              <w:rPr>
                <w:rFonts w:ascii="宋体" w:eastAsia="宋体" w:hAnsi="宋体" w:cs="宋体" w:hint="eastAsia"/>
                <w:color w:val="000000"/>
                <w:kern w:val="0"/>
                <w:sz w:val="20"/>
                <w:szCs w:val="20"/>
              </w:rPr>
              <w:t>原机电、冶化、轻工、纺织协会机关离退休人员及行业市属企业离休干部和军转干部的管理服务工作，起到维稳作用。</w:t>
            </w:r>
          </w:p>
        </w:tc>
      </w:tr>
      <w:tr w:rsidR="009E4583">
        <w:trPr>
          <w:trHeight w:val="508"/>
        </w:trPr>
        <w:tc>
          <w:tcPr>
            <w:tcW w:w="438"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1847" w:type="dxa"/>
            <w:gridSpan w:val="2"/>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272"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9E4583">
        <w:trPr>
          <w:trHeight w:val="718"/>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br/>
              <w:t>离休干部和军转干部的管理服务人数</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cs="宋体"/>
                <w:sz w:val="20"/>
              </w:rPr>
              <w:t>≤</w:t>
            </w:r>
            <w:r>
              <w:rPr>
                <w:rFonts w:ascii="宋体" w:cs="宋体" w:hint="eastAsia"/>
                <w:sz w:val="20"/>
              </w:rPr>
              <w:t>109人</w:t>
            </w:r>
          </w:p>
        </w:tc>
      </w:tr>
      <w:tr w:rsidR="009E4583">
        <w:trPr>
          <w:trHeight w:val="73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经费使用合规性</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sz w:val="20"/>
                <w:szCs w:val="20"/>
              </w:rPr>
              <w:t>严格执行相关法律法规</w:t>
            </w:r>
          </w:p>
        </w:tc>
      </w:tr>
      <w:tr w:rsidR="009E4583">
        <w:trPr>
          <w:trHeight w:val="547"/>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经费支出时效性</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2025年度</w:t>
            </w:r>
          </w:p>
        </w:tc>
      </w:tr>
      <w:tr w:rsidR="009E4583">
        <w:trPr>
          <w:trHeight w:val="499"/>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成本总额</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≤3万元</w:t>
            </w:r>
          </w:p>
        </w:tc>
      </w:tr>
      <w:tr w:rsidR="009E4583">
        <w:trPr>
          <w:trHeight w:val="44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促进离休干部的稳定</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531"/>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减轻家庭负担的影响</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67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提升环保意识的影响</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42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可持续影响指标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对促进行业发展的可持续性影响程度</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363"/>
        </w:trPr>
        <w:tc>
          <w:tcPr>
            <w:tcW w:w="438" w:type="dxa"/>
            <w:vMerge/>
            <w:tcBorders>
              <w:tl2br w:val="nil"/>
              <w:tr2bl w:val="nil"/>
            </w:tcBorders>
            <w:vAlign w:val="center"/>
          </w:tcPr>
          <w:p w:rsidR="009E4583" w:rsidRDefault="009E4583">
            <w:pPr>
              <w:jc w:val="center"/>
              <w:rPr>
                <w:rFonts w:ascii="宋体" w:cs="宋体"/>
                <w:sz w:val="20"/>
              </w:rPr>
            </w:pPr>
          </w:p>
        </w:tc>
        <w:tc>
          <w:tcPr>
            <w:tcW w:w="723" w:type="dxa"/>
            <w:tcBorders>
              <w:tl2br w:val="nil"/>
              <w:tr2bl w:val="nil"/>
            </w:tcBorders>
            <w:vAlign w:val="center"/>
          </w:tcPr>
          <w:p w:rsidR="009E4583" w:rsidRDefault="009B5444">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满意度指标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社会满意度</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≥95%</w:t>
            </w:r>
          </w:p>
        </w:tc>
      </w:tr>
    </w:tbl>
    <w:p w:rsidR="009E4583" w:rsidRDefault="009E4583">
      <w:pPr>
        <w:ind w:firstLineChars="200" w:firstLine="420"/>
      </w:pPr>
    </w:p>
    <w:p w:rsidR="009E4583" w:rsidRDefault="009E4583">
      <w:pPr>
        <w:ind w:firstLineChars="200" w:firstLine="420"/>
      </w:pP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、“企业离休人员管理服务费”项目。</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）项目概述。原行业所属破产企国有企业离休人员</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3000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27000</w:t>
      </w:r>
      <w:r>
        <w:rPr>
          <w:rFonts w:ascii="TimesNewRoman" w:eastAsia="仿宋_GB2312" w:hAnsi="TimesNewRoman" w:cs="TimesNewRoman" w:hint="eastAsia"/>
          <w:kern w:val="0"/>
          <w:sz w:val="32"/>
          <w:szCs w:val="32"/>
        </w:rPr>
        <w:t>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）立项依据。原行业所属破产企国有企业离休人员</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3000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27000</w:t>
      </w:r>
      <w:r>
        <w:rPr>
          <w:rFonts w:ascii="TimesNewRoman" w:eastAsia="仿宋_GB2312" w:hAnsi="TimesNewRoman" w:cs="TimesNewRoman" w:hint="eastAsia"/>
          <w:kern w:val="0"/>
          <w:sz w:val="32"/>
          <w:szCs w:val="32"/>
        </w:rPr>
        <w:t>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2025</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）项目内容。原行业所属破产企国有企业离休人员</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人，每人每年管理服务费</w:t>
      </w:r>
      <w:r>
        <w:rPr>
          <w:rFonts w:ascii="TimesNewRoman" w:eastAsia="仿宋_GB2312" w:hAnsi="TimesNewRoman" w:cs="TimesNewRoman" w:hint="eastAsia"/>
          <w:kern w:val="0"/>
          <w:sz w:val="32"/>
          <w:szCs w:val="32"/>
        </w:rPr>
        <w:t>3000</w:t>
      </w:r>
      <w:r>
        <w:rPr>
          <w:rFonts w:ascii="TimesNewRoman" w:eastAsia="仿宋_GB2312" w:hAnsi="TimesNewRoman" w:cs="TimesNewRoman" w:hint="eastAsia"/>
          <w:kern w:val="0"/>
          <w:sz w:val="32"/>
          <w:szCs w:val="32"/>
        </w:rPr>
        <w:t>元，合计</w:t>
      </w:r>
      <w:r>
        <w:rPr>
          <w:rFonts w:ascii="TimesNewRoman" w:eastAsia="仿宋_GB2312" w:hAnsi="TimesNewRoman" w:cs="TimesNewRoman" w:hint="eastAsia"/>
          <w:kern w:val="0"/>
          <w:sz w:val="32"/>
          <w:szCs w:val="32"/>
        </w:rPr>
        <w:t>27000</w:t>
      </w:r>
      <w:r>
        <w:rPr>
          <w:rFonts w:ascii="TimesNewRoman" w:eastAsia="仿宋_GB2312" w:hAnsi="TimesNewRoman" w:cs="TimesNewRoman" w:hint="eastAsia"/>
          <w:kern w:val="0"/>
          <w:sz w:val="32"/>
          <w:szCs w:val="32"/>
        </w:rPr>
        <w:t>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2.70</w:t>
      </w:r>
      <w:r>
        <w:rPr>
          <w:rFonts w:ascii="TimesNewRoman" w:eastAsia="仿宋_GB2312" w:hAnsi="TimesNewRoman" w:cs="TimesNewRoman" w:hint="eastAsia"/>
          <w:kern w:val="0"/>
          <w:sz w:val="32"/>
          <w:szCs w:val="32"/>
        </w:rPr>
        <w:t>万元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23"/>
        <w:gridCol w:w="282"/>
        <w:gridCol w:w="1565"/>
        <w:gridCol w:w="1784"/>
        <w:gridCol w:w="642"/>
        <w:gridCol w:w="1206"/>
        <w:gridCol w:w="2380"/>
      </w:tblGrid>
      <w:tr w:rsidR="009E4583">
        <w:trPr>
          <w:trHeight w:val="253"/>
        </w:trPr>
        <w:tc>
          <w:tcPr>
            <w:tcW w:w="9020" w:type="dxa"/>
            <w:gridSpan w:val="8"/>
            <w:tcBorders>
              <w:top w:val="nil"/>
              <w:left w:val="nil"/>
              <w:bottom w:val="nil"/>
              <w:right w:val="nil"/>
            </w:tcBorders>
            <w:vAlign w:val="center"/>
          </w:tcPr>
          <w:p w:rsidR="009E4583" w:rsidRDefault="009B5444">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9E4583">
        <w:trPr>
          <w:trHeight w:val="270"/>
        </w:trPr>
        <w:tc>
          <w:tcPr>
            <w:tcW w:w="9020" w:type="dxa"/>
            <w:gridSpan w:val="8"/>
            <w:tcBorders>
              <w:top w:val="nil"/>
              <w:left w:val="nil"/>
              <w:right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（2025年度）                                </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5"/>
            <w:tcBorders>
              <w:tl2br w:val="nil"/>
              <w:tr2bl w:val="nil"/>
            </w:tcBorders>
            <w:vAlign w:val="center"/>
          </w:tcPr>
          <w:p w:rsidR="009E4583" w:rsidRDefault="009B5444">
            <w:pPr>
              <w:jc w:val="center"/>
              <w:rPr>
                <w:rFonts w:ascii="宋体" w:cs="宋体"/>
                <w:sz w:val="20"/>
              </w:rPr>
            </w:pPr>
            <w:r>
              <w:rPr>
                <w:rFonts w:ascii="宋体" w:cs="宋体" w:hint="eastAsia"/>
                <w:sz w:val="20"/>
              </w:rPr>
              <w:t>企业离休人员管理服务费</w:t>
            </w:r>
          </w:p>
        </w:tc>
      </w:tr>
      <w:tr w:rsidR="009E4583">
        <w:trPr>
          <w:trHeight w:val="491"/>
        </w:trPr>
        <w:tc>
          <w:tcPr>
            <w:tcW w:w="1443" w:type="dxa"/>
            <w:gridSpan w:val="3"/>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cs="宋体" w:hint="eastAsia"/>
                <w:sz w:val="20"/>
              </w:rPr>
              <w:t>285淮北市工业和信息化局</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9E4583" w:rsidRDefault="009B5444">
            <w:pPr>
              <w:jc w:val="center"/>
            </w:pPr>
            <w:r>
              <w:rPr>
                <w:rFonts w:hint="eastAsia"/>
              </w:rPr>
              <w:t>淮北市企业服务中心</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eastAsia="宋体" w:hAnsi="宋体" w:cs="宋体" w:hint="eastAsia"/>
                <w:color w:val="000000"/>
                <w:kern w:val="0"/>
                <w:sz w:val="20"/>
                <w:szCs w:val="20"/>
              </w:rPr>
              <w:t>1-本级申报项目</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9E4583" w:rsidRDefault="009B5444">
            <w:pPr>
              <w:jc w:val="center"/>
            </w:pPr>
            <w:r>
              <w:rPr>
                <w:rFonts w:hint="eastAsia"/>
              </w:rPr>
              <w:t>2025</w:t>
            </w:r>
            <w:r>
              <w:rPr>
                <w:rFonts w:hint="eastAsia"/>
              </w:rPr>
              <w:t>年度</w:t>
            </w:r>
          </w:p>
        </w:tc>
      </w:tr>
      <w:tr w:rsidR="009E4583">
        <w:trPr>
          <w:trHeight w:val="330"/>
        </w:trPr>
        <w:tc>
          <w:tcPr>
            <w:tcW w:w="1443" w:type="dxa"/>
            <w:gridSpan w:val="3"/>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2.70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2.70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3"/>
            <w:tcBorders>
              <w:tl2br w:val="nil"/>
              <w:tr2bl w:val="nil"/>
            </w:tcBorders>
            <w:vAlign w:val="center"/>
          </w:tcPr>
          <w:p w:rsidR="009E4583" w:rsidRDefault="009E4583">
            <w:pPr>
              <w:jc w:val="center"/>
              <w:rPr>
                <w:rFonts w:ascii="宋体" w:cs="宋体"/>
                <w:sz w:val="20"/>
              </w:rPr>
            </w:pP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3"/>
            <w:tcBorders>
              <w:tl2br w:val="nil"/>
              <w:tr2bl w:val="nil"/>
            </w:tcBorders>
            <w:vAlign w:val="center"/>
          </w:tcPr>
          <w:p w:rsidR="009E4583" w:rsidRDefault="009E4583">
            <w:pPr>
              <w:jc w:val="right"/>
              <w:rPr>
                <w:rFonts w:ascii="宋体" w:cs="宋体"/>
                <w:sz w:val="20"/>
              </w:rPr>
            </w:pPr>
          </w:p>
        </w:tc>
      </w:tr>
      <w:tr w:rsidR="009E4583">
        <w:trPr>
          <w:trHeight w:val="1015"/>
        </w:trPr>
        <w:tc>
          <w:tcPr>
            <w:tcW w:w="438"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7"/>
            <w:tcBorders>
              <w:tl2br w:val="nil"/>
              <w:tr2bl w:val="nil"/>
            </w:tcBorders>
            <w:vAlign w:val="center"/>
          </w:tcPr>
          <w:p w:rsidR="009E4583" w:rsidRDefault="009B5444">
            <w:pPr>
              <w:jc w:val="left"/>
              <w:rPr>
                <w:rFonts w:ascii="宋体" w:cs="宋体"/>
                <w:sz w:val="20"/>
              </w:rPr>
            </w:pPr>
            <w:r>
              <w:rPr>
                <w:rFonts w:ascii="宋体" w:eastAsia="宋体" w:hAnsi="宋体" w:cs="宋体" w:hint="eastAsia"/>
                <w:color w:val="000000"/>
                <w:kern w:val="0"/>
                <w:sz w:val="20"/>
                <w:szCs w:val="20"/>
              </w:rPr>
              <w:t>保障原破产企业离休人员慰问金、过节费、书报费等补贴发放。</w:t>
            </w:r>
          </w:p>
        </w:tc>
      </w:tr>
      <w:tr w:rsidR="009E4583">
        <w:trPr>
          <w:trHeight w:val="508"/>
        </w:trPr>
        <w:tc>
          <w:tcPr>
            <w:tcW w:w="438"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lastRenderedPageBreak/>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1847" w:type="dxa"/>
            <w:gridSpan w:val="2"/>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42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9E4583">
        <w:trPr>
          <w:trHeight w:val="718"/>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慰问次数</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≥1</w:t>
            </w:r>
          </w:p>
        </w:tc>
      </w:tr>
      <w:tr w:rsidR="009E4583">
        <w:trPr>
          <w:trHeight w:val="73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经费使用合规性</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sz w:val="20"/>
                <w:szCs w:val="20"/>
              </w:rPr>
              <w:t>严格执行相关法律法规</w:t>
            </w:r>
          </w:p>
        </w:tc>
      </w:tr>
      <w:tr w:rsidR="009E4583">
        <w:trPr>
          <w:trHeight w:val="547"/>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经费支出时效性</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2025年度</w:t>
            </w:r>
          </w:p>
        </w:tc>
      </w:tr>
      <w:tr w:rsidR="009E4583">
        <w:trPr>
          <w:trHeight w:val="499"/>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成本总额</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≤2.7万元</w:t>
            </w:r>
          </w:p>
        </w:tc>
      </w:tr>
      <w:tr w:rsidR="009E4583">
        <w:trPr>
          <w:trHeight w:val="44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br/>
              <w:t>保障离休干部工作的开展</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531"/>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稳定离休人员</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67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节约水电</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42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可持续影响指标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对离休人员的可持续影响</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363"/>
        </w:trPr>
        <w:tc>
          <w:tcPr>
            <w:tcW w:w="438" w:type="dxa"/>
            <w:vMerge/>
            <w:tcBorders>
              <w:tl2br w:val="nil"/>
              <w:tr2bl w:val="nil"/>
            </w:tcBorders>
            <w:vAlign w:val="center"/>
          </w:tcPr>
          <w:p w:rsidR="009E4583" w:rsidRDefault="009E4583">
            <w:pPr>
              <w:jc w:val="center"/>
              <w:rPr>
                <w:rFonts w:ascii="宋体" w:cs="宋体"/>
                <w:sz w:val="20"/>
              </w:rPr>
            </w:pPr>
          </w:p>
        </w:tc>
        <w:tc>
          <w:tcPr>
            <w:tcW w:w="723" w:type="dxa"/>
            <w:tcBorders>
              <w:tl2br w:val="nil"/>
              <w:tr2bl w:val="nil"/>
            </w:tcBorders>
            <w:vAlign w:val="center"/>
          </w:tcPr>
          <w:p w:rsidR="009E4583" w:rsidRDefault="009B5444">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满意度指标</w:t>
            </w:r>
          </w:p>
        </w:tc>
        <w:tc>
          <w:tcPr>
            <w:tcW w:w="2426"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社会满意度</w:t>
            </w:r>
          </w:p>
        </w:tc>
        <w:tc>
          <w:tcPr>
            <w:tcW w:w="3586"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≥95%</w:t>
            </w:r>
          </w:p>
        </w:tc>
      </w:tr>
    </w:tbl>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、“办公大楼运行等工作经费”项目。</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办公用房为招商大厦</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办公用房为招商大厦</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）实施主体。淮北市企业服务中心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2025</w:t>
      </w:r>
      <w:r>
        <w:rPr>
          <w:rFonts w:ascii="仿宋_GB2312" w:eastAsia="仿宋_GB2312" w:hint="eastAsia"/>
          <w:sz w:val="32"/>
          <w:szCs w:val="32"/>
        </w:rPr>
        <w:t>年</w:t>
      </w:r>
      <w:r>
        <w:rPr>
          <w:rFonts w:ascii="TimesNewRoman" w:eastAsia="仿宋_GB2312" w:hAnsi="TimesNewRoman" w:cs="TimesNewRoman" w:hint="eastAsia"/>
          <w:kern w:val="0"/>
          <w:sz w:val="32"/>
          <w:szCs w:val="32"/>
        </w:rPr>
        <w:t>1</w:t>
      </w:r>
      <w:r>
        <w:rPr>
          <w:rFonts w:ascii="仿宋_GB2312" w:eastAsia="仿宋_GB2312" w:hint="eastAsia"/>
          <w:sz w:val="32"/>
          <w:szCs w:val="32"/>
        </w:rPr>
        <w:t>-</w:t>
      </w:r>
      <w:r>
        <w:rPr>
          <w:rFonts w:ascii="TimesNewRoman" w:eastAsia="仿宋_GB2312" w:hAnsi="TimesNewRoman" w:cs="TimesNewRoman" w:hint="eastAsia"/>
          <w:kern w:val="0"/>
          <w:sz w:val="32"/>
          <w:szCs w:val="32"/>
        </w:rPr>
        <w:t>12</w:t>
      </w:r>
      <w:r>
        <w:rPr>
          <w:rFonts w:ascii="仿宋_GB2312" w:eastAsia="仿宋_GB2312" w:hint="eastAsia"/>
          <w:sz w:val="32"/>
          <w:szCs w:val="32"/>
        </w:rPr>
        <w:t>月</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我局于</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年搬至市招商大厦办公</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办公用房为招商大厦</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层，水电及保洁及网络使用费均由我单位自付。</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2.6</w:t>
      </w:r>
      <w:r>
        <w:rPr>
          <w:rFonts w:ascii="TimesNewRoman" w:eastAsia="仿宋_GB2312" w:hAnsi="TimesNewRoman" w:cs="TimesNewRoman" w:hint="eastAsia"/>
          <w:kern w:val="0"/>
          <w:sz w:val="32"/>
          <w:szCs w:val="32"/>
        </w:rPr>
        <w:t>万元</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23"/>
        <w:gridCol w:w="282"/>
        <w:gridCol w:w="1565"/>
        <w:gridCol w:w="1784"/>
        <w:gridCol w:w="488"/>
        <w:gridCol w:w="1360"/>
        <w:gridCol w:w="2380"/>
      </w:tblGrid>
      <w:tr w:rsidR="009E4583">
        <w:trPr>
          <w:trHeight w:val="253"/>
        </w:trPr>
        <w:tc>
          <w:tcPr>
            <w:tcW w:w="9020" w:type="dxa"/>
            <w:gridSpan w:val="8"/>
            <w:tcBorders>
              <w:top w:val="nil"/>
              <w:left w:val="nil"/>
              <w:bottom w:val="nil"/>
              <w:right w:val="nil"/>
            </w:tcBorders>
            <w:vAlign w:val="center"/>
          </w:tcPr>
          <w:p w:rsidR="009E4583" w:rsidRDefault="009B5444">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项目支出绩效目标表</w:t>
            </w:r>
          </w:p>
        </w:tc>
      </w:tr>
      <w:tr w:rsidR="009E4583">
        <w:trPr>
          <w:trHeight w:val="270"/>
        </w:trPr>
        <w:tc>
          <w:tcPr>
            <w:tcW w:w="9020" w:type="dxa"/>
            <w:gridSpan w:val="8"/>
            <w:tcBorders>
              <w:top w:val="nil"/>
              <w:left w:val="nil"/>
              <w:right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 xml:space="preserve"> （2025年度）                                </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5"/>
            <w:tcBorders>
              <w:tl2br w:val="nil"/>
              <w:tr2bl w:val="nil"/>
            </w:tcBorders>
            <w:vAlign w:val="center"/>
          </w:tcPr>
          <w:p w:rsidR="009E4583" w:rsidRDefault="009B5444">
            <w:pPr>
              <w:jc w:val="center"/>
              <w:rPr>
                <w:rFonts w:ascii="宋体" w:cs="宋体"/>
                <w:sz w:val="20"/>
              </w:rPr>
            </w:pPr>
            <w:r>
              <w:rPr>
                <w:rFonts w:ascii="宋体" w:cs="宋体" w:hint="eastAsia"/>
                <w:sz w:val="20"/>
              </w:rPr>
              <w:t>办公大楼运行等工作经费</w:t>
            </w:r>
          </w:p>
        </w:tc>
      </w:tr>
      <w:tr w:rsidR="009E4583">
        <w:trPr>
          <w:trHeight w:val="491"/>
        </w:trPr>
        <w:tc>
          <w:tcPr>
            <w:tcW w:w="1443" w:type="dxa"/>
            <w:gridSpan w:val="3"/>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   及代码</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cs="宋体" w:hint="eastAsia"/>
                <w:sz w:val="20"/>
              </w:rPr>
              <w:t>285淮北市工业和信息化局</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rsidR="009E4583" w:rsidRDefault="009B5444">
            <w:pPr>
              <w:jc w:val="center"/>
            </w:pPr>
            <w:r>
              <w:rPr>
                <w:rFonts w:hint="eastAsia"/>
              </w:rPr>
              <w:t>淮北市企业服务中心</w:t>
            </w:r>
          </w:p>
        </w:tc>
      </w:tr>
      <w:tr w:rsidR="009E4583">
        <w:trPr>
          <w:trHeight w:val="330"/>
        </w:trPr>
        <w:tc>
          <w:tcPr>
            <w:tcW w:w="1443" w:type="dxa"/>
            <w:gridSpan w:val="3"/>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rsidR="009E4583" w:rsidRDefault="009B5444">
            <w:pPr>
              <w:jc w:val="center"/>
              <w:rPr>
                <w:rFonts w:ascii="宋体" w:cs="宋体"/>
                <w:sz w:val="20"/>
              </w:rPr>
            </w:pPr>
            <w:r>
              <w:rPr>
                <w:rFonts w:ascii="宋体" w:eastAsia="宋体" w:hAnsi="宋体" w:cs="宋体" w:hint="eastAsia"/>
                <w:color w:val="000000"/>
                <w:kern w:val="0"/>
                <w:sz w:val="20"/>
                <w:szCs w:val="20"/>
              </w:rPr>
              <w:t>1-本级申报项目</w:t>
            </w:r>
          </w:p>
        </w:tc>
        <w:tc>
          <w:tcPr>
            <w:tcW w:w="1848" w:type="dxa"/>
            <w:gridSpan w:val="2"/>
            <w:tcBorders>
              <w:tl2br w:val="nil"/>
              <w:tr2bl w:val="nil"/>
            </w:tcBorders>
            <w:vAlign w:val="center"/>
          </w:tcPr>
          <w:p w:rsidR="009E4583" w:rsidRDefault="009B5444">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rsidR="009E4583" w:rsidRDefault="009B5444">
            <w:pPr>
              <w:jc w:val="center"/>
            </w:pPr>
            <w:r>
              <w:rPr>
                <w:rFonts w:hint="eastAsia"/>
              </w:rPr>
              <w:t>2025</w:t>
            </w:r>
            <w:r>
              <w:rPr>
                <w:rFonts w:hint="eastAsia"/>
              </w:rPr>
              <w:t>年度</w:t>
            </w:r>
          </w:p>
        </w:tc>
      </w:tr>
      <w:tr w:rsidR="009E4583">
        <w:trPr>
          <w:trHeight w:val="330"/>
        </w:trPr>
        <w:tc>
          <w:tcPr>
            <w:tcW w:w="1443" w:type="dxa"/>
            <w:gridSpan w:val="3"/>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t>（万元）</w:t>
            </w: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年度资金总额：</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2.60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其中：财政拨款</w:t>
            </w:r>
          </w:p>
        </w:tc>
        <w:tc>
          <w:tcPr>
            <w:tcW w:w="4228" w:type="dxa"/>
            <w:gridSpan w:val="3"/>
            <w:tcBorders>
              <w:tl2br w:val="nil"/>
              <w:tr2bl w:val="nil"/>
            </w:tcBorders>
            <w:vAlign w:val="center"/>
          </w:tcPr>
          <w:p w:rsidR="009E4583" w:rsidRDefault="009B5444">
            <w:pPr>
              <w:jc w:val="right"/>
              <w:rPr>
                <w:rFonts w:ascii="宋体" w:cs="宋体"/>
                <w:sz w:val="20"/>
              </w:rPr>
            </w:pPr>
            <w:r>
              <w:rPr>
                <w:rFonts w:ascii="宋体" w:cs="宋体" w:hint="eastAsia"/>
                <w:sz w:val="20"/>
              </w:rPr>
              <w:t>2.60</w:t>
            </w: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上年结转</w:t>
            </w:r>
          </w:p>
        </w:tc>
        <w:tc>
          <w:tcPr>
            <w:tcW w:w="4228" w:type="dxa"/>
            <w:gridSpan w:val="3"/>
            <w:tcBorders>
              <w:tl2br w:val="nil"/>
              <w:tr2bl w:val="nil"/>
            </w:tcBorders>
            <w:vAlign w:val="center"/>
          </w:tcPr>
          <w:p w:rsidR="009E4583" w:rsidRDefault="009E4583">
            <w:pPr>
              <w:jc w:val="center"/>
              <w:rPr>
                <w:rFonts w:ascii="宋体" w:cs="宋体"/>
                <w:sz w:val="20"/>
              </w:rPr>
            </w:pPr>
          </w:p>
        </w:tc>
      </w:tr>
      <w:tr w:rsidR="009E4583">
        <w:trPr>
          <w:trHeight w:val="330"/>
        </w:trPr>
        <w:tc>
          <w:tcPr>
            <w:tcW w:w="1443" w:type="dxa"/>
            <w:gridSpan w:val="3"/>
            <w:vMerge/>
            <w:tcBorders>
              <w:tl2br w:val="nil"/>
              <w:tr2bl w:val="nil"/>
            </w:tcBorders>
            <w:vAlign w:val="center"/>
          </w:tcPr>
          <w:p w:rsidR="009E4583" w:rsidRDefault="009E4583">
            <w:pPr>
              <w:jc w:val="center"/>
              <w:rPr>
                <w:rFonts w:ascii="宋体" w:cs="宋体"/>
                <w:sz w:val="20"/>
              </w:rPr>
            </w:pPr>
          </w:p>
        </w:tc>
        <w:tc>
          <w:tcPr>
            <w:tcW w:w="3349" w:type="dxa"/>
            <w:gridSpan w:val="2"/>
            <w:tcBorders>
              <w:tl2br w:val="nil"/>
              <w:tr2bl w:val="nil"/>
            </w:tcBorders>
            <w:vAlign w:val="center"/>
          </w:tcPr>
          <w:p w:rsidR="009E4583" w:rsidRDefault="009B5444">
            <w:pPr>
              <w:widowControl/>
              <w:jc w:val="left"/>
              <w:textAlignment w:val="center"/>
              <w:rPr>
                <w:rFonts w:ascii="宋体" w:cs="宋体"/>
                <w:sz w:val="20"/>
              </w:rPr>
            </w:pPr>
            <w:r>
              <w:rPr>
                <w:rFonts w:ascii="宋体" w:eastAsia="宋体" w:hAnsi="宋体" w:cs="宋体" w:hint="eastAsia"/>
                <w:color w:val="000000"/>
                <w:kern w:val="0"/>
                <w:sz w:val="20"/>
                <w:szCs w:val="20"/>
              </w:rPr>
              <w:t xml:space="preserve">         其他资金</w:t>
            </w:r>
          </w:p>
        </w:tc>
        <w:tc>
          <w:tcPr>
            <w:tcW w:w="4228" w:type="dxa"/>
            <w:gridSpan w:val="3"/>
            <w:tcBorders>
              <w:tl2br w:val="nil"/>
              <w:tr2bl w:val="nil"/>
            </w:tcBorders>
            <w:vAlign w:val="center"/>
          </w:tcPr>
          <w:p w:rsidR="009E4583" w:rsidRDefault="009E4583">
            <w:pPr>
              <w:jc w:val="right"/>
              <w:rPr>
                <w:rFonts w:ascii="宋体" w:cs="宋体"/>
                <w:sz w:val="20"/>
              </w:rPr>
            </w:pPr>
          </w:p>
        </w:tc>
      </w:tr>
      <w:tr w:rsidR="009E4583">
        <w:trPr>
          <w:trHeight w:val="1015"/>
        </w:trPr>
        <w:tc>
          <w:tcPr>
            <w:tcW w:w="438"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t>目标</w:t>
            </w:r>
          </w:p>
        </w:tc>
        <w:tc>
          <w:tcPr>
            <w:tcW w:w="8582" w:type="dxa"/>
            <w:gridSpan w:val="7"/>
            <w:tcBorders>
              <w:tl2br w:val="nil"/>
              <w:tr2bl w:val="nil"/>
            </w:tcBorders>
            <w:vAlign w:val="center"/>
          </w:tcPr>
          <w:p w:rsidR="009E4583" w:rsidRDefault="009B5444">
            <w:pPr>
              <w:jc w:val="left"/>
              <w:rPr>
                <w:rFonts w:ascii="宋体" w:cs="宋体"/>
                <w:sz w:val="20"/>
              </w:rPr>
            </w:pPr>
            <w:r>
              <w:rPr>
                <w:rFonts w:ascii="宋体" w:eastAsia="宋体" w:hAnsi="宋体" w:cs="宋体" w:hint="eastAsia"/>
                <w:color w:val="000000"/>
                <w:kern w:val="0"/>
                <w:sz w:val="20"/>
                <w:szCs w:val="20"/>
              </w:rPr>
              <w:t>保障机关正常运行。</w:t>
            </w:r>
          </w:p>
        </w:tc>
      </w:tr>
      <w:tr w:rsidR="009E4583">
        <w:trPr>
          <w:trHeight w:val="508"/>
        </w:trPr>
        <w:tc>
          <w:tcPr>
            <w:tcW w:w="438"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t>效</w:t>
            </w:r>
            <w:r>
              <w:rPr>
                <w:rFonts w:ascii="宋体" w:eastAsia="宋体" w:hAnsi="宋体" w:cs="宋体" w:hint="eastAsia"/>
                <w:color w:val="000000"/>
                <w:kern w:val="0"/>
                <w:sz w:val="20"/>
                <w:szCs w:val="20"/>
              </w:rPr>
              <w:br/>
              <w:t>指</w:t>
            </w:r>
            <w:r>
              <w:rPr>
                <w:rFonts w:ascii="宋体" w:eastAsia="宋体" w:hAnsi="宋体" w:cs="宋体" w:hint="eastAsia"/>
                <w:color w:val="000000"/>
                <w:kern w:val="0"/>
                <w:sz w:val="20"/>
                <w:szCs w:val="20"/>
              </w:rPr>
              <w:br/>
              <w:t>标</w:t>
            </w:r>
          </w:p>
        </w:tc>
        <w:tc>
          <w:tcPr>
            <w:tcW w:w="723" w:type="dxa"/>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t>指标</w:t>
            </w:r>
          </w:p>
        </w:tc>
        <w:tc>
          <w:tcPr>
            <w:tcW w:w="1847" w:type="dxa"/>
            <w:gridSpan w:val="2"/>
            <w:tcBorders>
              <w:tl2br w:val="nil"/>
              <w:tr2bl w:val="nil"/>
            </w:tcBorders>
            <w:vAlign w:val="center"/>
          </w:tcPr>
          <w:p w:rsidR="009E4583" w:rsidRDefault="009B5444">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272"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9E4583">
        <w:trPr>
          <w:trHeight w:val="718"/>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保障服务企业数量</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≤50个</w:t>
            </w:r>
          </w:p>
        </w:tc>
      </w:tr>
      <w:tr w:rsidR="009E4583">
        <w:trPr>
          <w:trHeight w:val="73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经费使用合规性</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sz w:val="20"/>
                <w:szCs w:val="20"/>
              </w:rPr>
              <w:t>严格执行相关法律法规</w:t>
            </w:r>
          </w:p>
        </w:tc>
      </w:tr>
      <w:tr w:rsidR="009E4583">
        <w:trPr>
          <w:trHeight w:val="547"/>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经费支出时效性</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2025年度</w:t>
            </w:r>
          </w:p>
        </w:tc>
      </w:tr>
      <w:tr w:rsidR="009E4583">
        <w:trPr>
          <w:trHeight w:val="499"/>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成本总额</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≤2.60万元</w:t>
            </w:r>
          </w:p>
        </w:tc>
      </w:tr>
      <w:tr w:rsidR="009E4583">
        <w:trPr>
          <w:trHeight w:val="44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val="restart"/>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办公大楼运行</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cs="宋体"/>
                <w:sz w:val="20"/>
              </w:rPr>
              <w:t>保障机关正常运转</w:t>
            </w:r>
          </w:p>
        </w:tc>
      </w:tr>
      <w:tr w:rsidR="009E4583">
        <w:trPr>
          <w:trHeight w:val="531"/>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群众方便来访</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方便群众</w:t>
            </w:r>
          </w:p>
        </w:tc>
      </w:tr>
      <w:tr w:rsidR="009E4583">
        <w:trPr>
          <w:trHeight w:val="673"/>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提升环保意识的影响</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hint="eastAsia"/>
              </w:rPr>
              <w:t>较高</w:t>
            </w:r>
          </w:p>
        </w:tc>
      </w:tr>
      <w:tr w:rsidR="009E4583">
        <w:trPr>
          <w:trHeight w:val="420"/>
        </w:trPr>
        <w:tc>
          <w:tcPr>
            <w:tcW w:w="438" w:type="dxa"/>
            <w:vMerge/>
            <w:tcBorders>
              <w:tl2br w:val="nil"/>
              <w:tr2bl w:val="nil"/>
            </w:tcBorders>
            <w:vAlign w:val="center"/>
          </w:tcPr>
          <w:p w:rsidR="009E4583" w:rsidRDefault="009E4583">
            <w:pPr>
              <w:jc w:val="center"/>
              <w:rPr>
                <w:rFonts w:ascii="宋体" w:cs="宋体"/>
                <w:sz w:val="20"/>
              </w:rPr>
            </w:pPr>
          </w:p>
        </w:tc>
        <w:tc>
          <w:tcPr>
            <w:tcW w:w="723" w:type="dxa"/>
            <w:vMerge/>
            <w:tcBorders>
              <w:tl2br w:val="nil"/>
              <w:tr2bl w:val="nil"/>
            </w:tcBorders>
            <w:vAlign w:val="center"/>
          </w:tcPr>
          <w:p w:rsidR="009E4583" w:rsidRDefault="009E4583">
            <w:pPr>
              <w:jc w:val="center"/>
              <w:rPr>
                <w:rFonts w:ascii="宋体" w:cs="宋体"/>
                <w:sz w:val="20"/>
              </w:rPr>
            </w:pP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可持续影响指标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办公地点稳定</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cs="宋体"/>
                <w:sz w:val="20"/>
              </w:rPr>
              <w:t>保障机关正常运转</w:t>
            </w:r>
          </w:p>
        </w:tc>
      </w:tr>
      <w:tr w:rsidR="009E4583">
        <w:trPr>
          <w:trHeight w:val="363"/>
        </w:trPr>
        <w:tc>
          <w:tcPr>
            <w:tcW w:w="438" w:type="dxa"/>
            <w:vMerge/>
            <w:tcBorders>
              <w:tl2br w:val="nil"/>
              <w:tr2bl w:val="nil"/>
            </w:tcBorders>
            <w:vAlign w:val="center"/>
          </w:tcPr>
          <w:p w:rsidR="009E4583" w:rsidRDefault="009E4583">
            <w:pPr>
              <w:jc w:val="center"/>
              <w:rPr>
                <w:rFonts w:ascii="宋体" w:cs="宋体"/>
                <w:sz w:val="20"/>
              </w:rPr>
            </w:pPr>
          </w:p>
        </w:tc>
        <w:tc>
          <w:tcPr>
            <w:tcW w:w="723" w:type="dxa"/>
            <w:tcBorders>
              <w:tl2br w:val="nil"/>
              <w:tr2bl w:val="nil"/>
            </w:tcBorders>
            <w:vAlign w:val="center"/>
          </w:tcPr>
          <w:p w:rsidR="009E4583" w:rsidRDefault="009B5444">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1847"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满意度指标</w:t>
            </w:r>
          </w:p>
        </w:tc>
        <w:tc>
          <w:tcPr>
            <w:tcW w:w="2272" w:type="dxa"/>
            <w:gridSpan w:val="2"/>
            <w:tcBorders>
              <w:tl2br w:val="nil"/>
              <w:tr2bl w:val="nil"/>
            </w:tcBorders>
            <w:vAlign w:val="center"/>
          </w:tcPr>
          <w:p w:rsidR="009E4583" w:rsidRDefault="009B5444">
            <w:pPr>
              <w:widowControl/>
              <w:jc w:val="center"/>
              <w:textAlignment w:val="center"/>
              <w:rPr>
                <w:rFonts w:ascii="宋体" w:eastAsia="宋体" w:hAnsi="宋体" w:cs="宋体"/>
                <w:sz w:val="20"/>
              </w:rPr>
            </w:pPr>
            <w:r>
              <w:rPr>
                <w:rFonts w:ascii="宋体" w:eastAsia="宋体" w:hAnsi="宋体" w:cs="宋体" w:hint="eastAsia"/>
                <w:color w:val="000000"/>
                <w:kern w:val="0"/>
                <w:sz w:val="20"/>
                <w:szCs w:val="20"/>
              </w:rPr>
              <w:t>社会满意度</w:t>
            </w:r>
          </w:p>
        </w:tc>
        <w:tc>
          <w:tcPr>
            <w:tcW w:w="3740" w:type="dxa"/>
            <w:gridSpan w:val="2"/>
            <w:tcBorders>
              <w:tl2br w:val="nil"/>
              <w:tr2bl w:val="nil"/>
            </w:tcBorders>
            <w:vAlign w:val="center"/>
          </w:tcPr>
          <w:p w:rsidR="009E4583" w:rsidRDefault="009B5444">
            <w:pPr>
              <w:widowControl/>
              <w:jc w:val="center"/>
              <w:textAlignment w:val="center"/>
              <w:rPr>
                <w:rFonts w:ascii="宋体" w:cs="宋体"/>
                <w:sz w:val="20"/>
              </w:rPr>
            </w:pPr>
            <w:r>
              <w:rPr>
                <w:rFonts w:ascii="宋体" w:eastAsia="宋体" w:hAnsi="宋体" w:cs="宋体" w:hint="eastAsia"/>
                <w:color w:val="000000"/>
                <w:kern w:val="0"/>
                <w:sz w:val="20"/>
                <w:szCs w:val="20"/>
              </w:rPr>
              <w:t>≥95%</w:t>
            </w:r>
          </w:p>
        </w:tc>
      </w:tr>
    </w:tbl>
    <w:p w:rsidR="009E4583" w:rsidRDefault="009B544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年机关运行经费财政拨款预算</w:t>
      </w:r>
      <w:r>
        <w:rPr>
          <w:rFonts w:ascii="TimesNewRoman" w:eastAsia="仿宋_GB2312" w:hAnsi="TimesNewRoman" w:cs="TimesNewRoman" w:hint="eastAsia"/>
          <w:kern w:val="0"/>
          <w:sz w:val="32"/>
          <w:szCs w:val="32"/>
        </w:rPr>
        <w:t>20.30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p>
    <w:p w:rsidR="009E4583" w:rsidRDefault="009B544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淮北市企业服务中心</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年政府采购预算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万元。其中：政</w:t>
      </w:r>
      <w:r>
        <w:rPr>
          <w:rFonts w:ascii="TimesNewRoman" w:eastAsia="仿宋_GB2312" w:hAnsi="TimesNewRoman" w:cs="TimesNewRoman" w:hint="eastAsia"/>
          <w:kern w:val="0"/>
          <w:sz w:val="32"/>
          <w:szCs w:val="32"/>
        </w:rPr>
        <w:lastRenderedPageBreak/>
        <w:t>府采购货物预算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万元，政府采购工程预算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9E4583" w:rsidRDefault="009B544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日，淮北市企业服务中心共有车辆</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辆，其中：其他用车</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年单位预算安排购置公务用车</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9E4583" w:rsidRDefault="009B5444">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rsidR="009E4583" w:rsidRDefault="009B5444">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年，淮北市企业服务中心</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个项目实行了绩效目标管理，涉及一般公共预算当年财政拨款</w:t>
      </w:r>
      <w:r>
        <w:rPr>
          <w:rFonts w:ascii="TimesNewRoman" w:eastAsia="仿宋_GB2312" w:hAnsi="TimesNewRoman" w:cs="TimesNewRoman" w:hint="eastAsia"/>
          <w:kern w:val="0"/>
          <w:sz w:val="32"/>
          <w:szCs w:val="32"/>
        </w:rPr>
        <w:t>8.30</w:t>
      </w:r>
      <w:r>
        <w:rPr>
          <w:rFonts w:ascii="TimesNewRoman" w:eastAsia="仿宋_GB2312" w:hAnsi="TimesNewRoman" w:cs="TimesNewRoman" w:hint="eastAsia"/>
          <w:kern w:val="0"/>
          <w:sz w:val="32"/>
          <w:szCs w:val="32"/>
        </w:rPr>
        <w:t>万元、政府性基金预算当年财政拨款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万元、财政专户管理资金当年安排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9E4583" w:rsidRDefault="009E4583">
      <w:pPr>
        <w:pStyle w:val="a5"/>
        <w:adjustRightInd w:val="0"/>
        <w:snapToGrid w:val="0"/>
        <w:spacing w:line="560" w:lineRule="exact"/>
        <w:jc w:val="center"/>
        <w:rPr>
          <w:rFonts w:ascii="TimesNewRoman" w:eastAsia="黑体" w:hAnsi="TimesNewRoman" w:cs="TimesNewRoman"/>
          <w:bCs/>
          <w:sz w:val="36"/>
          <w:szCs w:val="36"/>
        </w:rPr>
      </w:pPr>
    </w:p>
    <w:p w:rsidR="009E4583" w:rsidRDefault="009B5444">
      <w:pPr>
        <w:pStyle w:val="a5"/>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9E4583" w:rsidRDefault="009E4583"/>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三、财政专户管理资金：</w:t>
      </w:r>
      <w:r>
        <w:rPr>
          <w:rFonts w:ascii="TimesNewRoman" w:eastAsia="仿宋_GB2312" w:hAnsi="TimesNewRoman" w:cs="TimesNewRoman" w:hint="eastAsia"/>
          <w:sz w:val="32"/>
          <w:szCs w:val="32"/>
        </w:rPr>
        <w:t>指按照非税收入管理相关规定，纳入财政专户管理的教育收费等。</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指以前年度预算安排、因客观条件发生变化无法按原计划实施，需以后年度按原用途继续使用的资金。</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9E4583" w:rsidRDefault="009B5444">
      <w:pPr>
        <w:pStyle w:val="a5"/>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9E4583" w:rsidRDefault="009E4583"/>
    <w:p w:rsidR="009E4583" w:rsidRDefault="009E4583"/>
    <w:p w:rsidR="009E4583" w:rsidRDefault="009E4583"/>
    <w:p w:rsidR="009E4583" w:rsidRDefault="009E4583"/>
    <w:p w:rsidR="009E4583" w:rsidRDefault="009E4583"/>
    <w:sectPr w:rsidR="009E4583" w:rsidSect="009E4583">
      <w:pgSz w:w="11906" w:h="16838"/>
      <w:pgMar w:top="1304" w:right="1134"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
    <w:altName w:val="Segoe Print"/>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907C4"/>
    <w:rsid w:val="00030A9B"/>
    <w:rsid w:val="000E28EE"/>
    <w:rsid w:val="00267E33"/>
    <w:rsid w:val="004A4DC6"/>
    <w:rsid w:val="0057562B"/>
    <w:rsid w:val="0063784E"/>
    <w:rsid w:val="006546AF"/>
    <w:rsid w:val="00726D96"/>
    <w:rsid w:val="00740B10"/>
    <w:rsid w:val="008F6D1A"/>
    <w:rsid w:val="009168AC"/>
    <w:rsid w:val="009A3CA3"/>
    <w:rsid w:val="009B5444"/>
    <w:rsid w:val="009E4583"/>
    <w:rsid w:val="00AE3242"/>
    <w:rsid w:val="00B153F0"/>
    <w:rsid w:val="00B225BD"/>
    <w:rsid w:val="00B964EC"/>
    <w:rsid w:val="00BD640A"/>
    <w:rsid w:val="00DB2A5C"/>
    <w:rsid w:val="00E907C4"/>
    <w:rsid w:val="00EC7755"/>
    <w:rsid w:val="00F45ECB"/>
    <w:rsid w:val="00F974AD"/>
    <w:rsid w:val="198440C8"/>
    <w:rsid w:val="1F8D7C46"/>
    <w:rsid w:val="2953641F"/>
    <w:rsid w:val="35384579"/>
    <w:rsid w:val="37F43B05"/>
    <w:rsid w:val="3FE20C49"/>
    <w:rsid w:val="60FC7A3D"/>
    <w:rsid w:val="74BA2467"/>
    <w:rsid w:val="7C4B6ACA"/>
    <w:rsid w:val="7DD81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8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uiPriority w:val="99"/>
    <w:semiHidden/>
    <w:qFormat/>
    <w:rsid w:val="009E4583"/>
    <w:pPr>
      <w:spacing w:before="100" w:beforeAutospacing="1" w:after="120" w:line="480" w:lineRule="auto"/>
      <w:ind w:leftChars="200" w:left="420"/>
    </w:pPr>
    <w:rPr>
      <w:rFonts w:cs="Calibri"/>
      <w:szCs w:val="21"/>
    </w:rPr>
  </w:style>
  <w:style w:type="paragraph" w:styleId="a3">
    <w:name w:val="footer"/>
    <w:basedOn w:val="a"/>
    <w:link w:val="Char"/>
    <w:uiPriority w:val="99"/>
    <w:semiHidden/>
    <w:unhideWhenUsed/>
    <w:qFormat/>
    <w:rsid w:val="009E458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E458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E4583"/>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9E4583"/>
    <w:rPr>
      <w:sz w:val="18"/>
      <w:szCs w:val="18"/>
    </w:rPr>
  </w:style>
  <w:style w:type="character" w:customStyle="1" w:styleId="Char">
    <w:name w:val="页脚 Char"/>
    <w:basedOn w:val="a0"/>
    <w:link w:val="a3"/>
    <w:uiPriority w:val="99"/>
    <w:semiHidden/>
    <w:qFormat/>
    <w:rsid w:val="009E458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陈成亚</cp:lastModifiedBy>
  <cp:revision>7</cp:revision>
  <dcterms:created xsi:type="dcterms:W3CDTF">2023-01-30T01:51:00Z</dcterms:created>
  <dcterms:modified xsi:type="dcterms:W3CDTF">2025-08-14T08:46:00Z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eyJoZGlkIjoiY2QzMjY1OTU5ZWRlMjMwZWM3NzY4MjEzYWE3OTA3NWEiLCJ1c2VySWQiOiI0MzUzNTk3OTgifQ==</vt:lpwstr>
  </property>
  <property fmtid="{D5CDD505-2E9C-101B-9397-08002B2CF9AE}" pid="3" name="KSOProductBuildVer">
    <vt:lpwstr>2052-12.1.0.19770</vt:lpwstr>
  </property>
  <property fmtid="{D5CDD505-2E9C-101B-9397-08002B2CF9AE}" pid="4" name="ICV">
    <vt:lpwstr>F56C68630EC64783AD07FD9C6D849BC7_12</vt:lpwstr>
  </property>
</Properties>
</file>