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94" w:rsidRDefault="00784A2B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淮北市经济和信息化局（本级）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ascii="宋体" w:hAnsi="宋体" w:hint="eastAsia"/>
          <w:b/>
          <w:sz w:val="36"/>
          <w:szCs w:val="36"/>
        </w:rPr>
        <w:t>21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度一般公共预算财政拨款</w:t>
      </w:r>
      <w:r>
        <w:rPr>
          <w:rFonts w:ascii="宋体" w:hAnsi="宋体"/>
          <w:b/>
          <w:sz w:val="36"/>
          <w:szCs w:val="36"/>
        </w:rPr>
        <w:t>“</w:t>
      </w:r>
      <w:r>
        <w:rPr>
          <w:rFonts w:ascii="宋体" w:hAnsi="宋体"/>
          <w:b/>
          <w:sz w:val="36"/>
          <w:szCs w:val="36"/>
        </w:rPr>
        <w:t>三公</w:t>
      </w:r>
      <w:r>
        <w:rPr>
          <w:rFonts w:ascii="宋体" w:hAnsi="宋体" w:hint="eastAsia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ascii="宋体" w:hAnsi="宋体" w:hint="eastAsia"/>
          <w:b/>
          <w:sz w:val="36"/>
          <w:szCs w:val="36"/>
        </w:rPr>
        <w:t>支出决算情况说明</w:t>
      </w:r>
    </w:p>
    <w:p w:rsidR="00F26994" w:rsidRDefault="00F26994">
      <w:pPr>
        <w:jc w:val="center"/>
        <w:rPr>
          <w:rFonts w:ascii="楷体_GB2312" w:eastAsia="楷体_GB2312"/>
          <w:szCs w:val="32"/>
        </w:rPr>
      </w:pPr>
    </w:p>
    <w:p w:rsidR="00F26994" w:rsidRDefault="00F26994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:rsidR="00F26994" w:rsidRDefault="00784A2B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>一、2021年度一般公共预算财政拨款“三公”经费支出决算表</w:t>
      </w:r>
    </w:p>
    <w:p w:rsidR="00F26994" w:rsidRDefault="00784A2B">
      <w:pPr>
        <w:ind w:firstLineChars="2100" w:firstLine="6720"/>
        <w:rPr>
          <w:rFonts w:ascii="黑体" w:eastAsia="黑体" w:hAnsi="黑体"/>
          <w:szCs w:val="32"/>
        </w:rPr>
      </w:pPr>
      <w:r>
        <w:rPr>
          <w:rFonts w:ascii="仿宋_GB2312" w:hAnsi="仿宋_GB2312" w:cs="仿宋_GB2312" w:hint="eastAsia"/>
          <w:szCs w:val="32"/>
        </w:rPr>
        <w:t>单位：万元</w:t>
      </w:r>
    </w:p>
    <w:tbl>
      <w:tblPr>
        <w:tblpPr w:leftFromText="180" w:rightFromText="180" w:vertAnchor="text" w:horzAnchor="margin" w:tblpY="454"/>
        <w:tblOverlap w:val="never"/>
        <w:tblW w:w="0" w:type="auto"/>
        <w:tblLayout w:type="fixed"/>
        <w:tblLook w:val="04A0"/>
      </w:tblPr>
      <w:tblGrid>
        <w:gridCol w:w="4379"/>
        <w:gridCol w:w="2157"/>
        <w:gridCol w:w="2220"/>
      </w:tblGrid>
      <w:tr w:rsidR="00F26994">
        <w:trPr>
          <w:trHeight w:val="39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94" w:rsidRDefault="00784A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目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994" w:rsidRDefault="00784A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994" w:rsidRDefault="00784A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决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</w:tr>
      <w:tr w:rsidR="00F26994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94" w:rsidRDefault="00784A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6994" w:rsidRDefault="00784A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5.00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6994" w:rsidRDefault="00784A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6.28</w:t>
            </w:r>
          </w:p>
        </w:tc>
      </w:tr>
      <w:tr w:rsidR="00F26994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94" w:rsidRDefault="00784A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6994" w:rsidRDefault="00784A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6994" w:rsidRDefault="00784A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0.00</w:t>
            </w:r>
          </w:p>
        </w:tc>
      </w:tr>
      <w:tr w:rsidR="00F26994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94" w:rsidRDefault="00784A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6994" w:rsidRDefault="00784A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5.00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6994" w:rsidRDefault="00784A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6.28</w:t>
            </w:r>
          </w:p>
        </w:tc>
      </w:tr>
      <w:tr w:rsidR="00F26994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94" w:rsidRDefault="00784A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6994" w:rsidRDefault="00784A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6994" w:rsidRDefault="00784A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0.00</w:t>
            </w:r>
          </w:p>
        </w:tc>
      </w:tr>
      <w:tr w:rsidR="00F26994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94" w:rsidRDefault="00784A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6994" w:rsidRDefault="00F269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6994" w:rsidRDefault="00F269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6994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94" w:rsidRDefault="00784A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公务用车购置费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6994" w:rsidRDefault="00784A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6994" w:rsidRDefault="00784A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F26994" w:rsidRDefault="00784A2B">
      <w:pPr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 xml:space="preserve">                                      </w:t>
      </w:r>
    </w:p>
    <w:p w:rsidR="00F26994" w:rsidRDefault="00784A2B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>二</w:t>
      </w:r>
      <w:r>
        <w:rPr>
          <w:rFonts w:ascii="黑体" w:eastAsia="黑体" w:hAnsi="黑体"/>
          <w:szCs w:val="32"/>
        </w:rPr>
        <w:t>、20</w:t>
      </w:r>
      <w:r>
        <w:rPr>
          <w:rFonts w:ascii="黑体" w:eastAsia="黑体" w:hAnsi="黑体" w:hint="eastAsia"/>
          <w:szCs w:val="32"/>
        </w:rPr>
        <w:t>21</w:t>
      </w:r>
      <w:r>
        <w:rPr>
          <w:rFonts w:ascii="黑体" w:eastAsia="黑体" w:hAnsi="黑体"/>
          <w:szCs w:val="32"/>
        </w:rPr>
        <w:t>年</w:t>
      </w:r>
      <w:r>
        <w:rPr>
          <w:rFonts w:ascii="黑体" w:eastAsia="黑体" w:hAnsi="黑体" w:hint="eastAsia"/>
          <w:szCs w:val="32"/>
        </w:rPr>
        <w:t>度一般公共预算财政拨款“三公”经费支出</w:t>
      </w:r>
      <w:r>
        <w:rPr>
          <w:rFonts w:ascii="黑体" w:eastAsia="黑体" w:hAnsi="黑体"/>
          <w:szCs w:val="32"/>
        </w:rPr>
        <w:t>情况说明</w:t>
      </w:r>
    </w:p>
    <w:p w:rsidR="00F26994" w:rsidRDefault="00784A2B">
      <w:pPr>
        <w:ind w:firstLineChars="200" w:firstLine="643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szCs w:val="32"/>
        </w:rPr>
        <w:t>（一）一般公共预算财政拨款“三公”经费支出决算总体情况说明。</w:t>
      </w:r>
    </w:p>
    <w:p w:rsidR="00F26994" w:rsidRDefault="00784A2B">
      <w:pPr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淮北市经济和信息化局（本级）2021年度一般公共预算财政拨款“三公”经费支出预算为5.00万元，支出决算为6.28万元，完成预算的125.60%，决算数大于预算数的主要</w:t>
      </w:r>
      <w:r>
        <w:rPr>
          <w:rFonts w:ascii="仿宋_GB2312" w:hAnsi="仿宋" w:hint="eastAsia"/>
          <w:szCs w:val="32"/>
        </w:rPr>
        <w:lastRenderedPageBreak/>
        <w:t>原因是2021年11月购入公务用酒1.60万元。</w:t>
      </w:r>
    </w:p>
    <w:p w:rsidR="00F26994" w:rsidRDefault="00784A2B">
      <w:pPr>
        <w:ind w:firstLineChars="200" w:firstLine="643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bCs/>
          <w:szCs w:val="32"/>
        </w:rPr>
        <w:t>（二）</w:t>
      </w:r>
      <w:r>
        <w:rPr>
          <w:rFonts w:ascii="仿宋_GB2312" w:hAnsi="仿宋" w:hint="eastAsia"/>
          <w:b/>
          <w:szCs w:val="32"/>
        </w:rPr>
        <w:t>一般公共预算财政拨款“三公”经费支出决算具体情况说明。</w:t>
      </w:r>
    </w:p>
    <w:p w:rsidR="00F26994" w:rsidRDefault="00784A2B">
      <w:pPr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淮北市经济和信息化局（本级）2021年度一般公共预算财政拨款“三公”经费支出决算中，因公出国（境）费支出决算0万元，占0%;公务接待费支出决算6.28万元，占100.00%；公务用车购置及运行维护费支出决算0万元，占0%。具体情况如下：</w:t>
      </w:r>
    </w:p>
    <w:p w:rsidR="00F26994" w:rsidRDefault="00784A2B">
      <w:pPr>
        <w:ind w:firstLine="628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1.因公出国（境）费支出</w:t>
      </w:r>
      <w:r>
        <w:rPr>
          <w:rFonts w:ascii="仿宋_GB2312" w:hAnsi="仿宋" w:hint="eastAsia"/>
          <w:szCs w:val="32"/>
        </w:rPr>
        <w:t>0万元，与2021年度预算相比，无变化。2021年淮北市经济和信息化局（本级）因公出国（境）团组0次，累计出国（境）0人次。</w:t>
      </w:r>
    </w:p>
    <w:p w:rsidR="00F26994" w:rsidRDefault="00784A2B">
      <w:pPr>
        <w:snapToGrid w:val="0"/>
        <w:spacing w:line="520" w:lineRule="exact"/>
        <w:ind w:firstLineChars="200" w:firstLine="643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2.公务接待费支出</w:t>
      </w:r>
      <w:r>
        <w:rPr>
          <w:rFonts w:ascii="仿宋_GB2312" w:hAnsi="仿宋" w:hint="eastAsia"/>
          <w:szCs w:val="32"/>
        </w:rPr>
        <w:t>6.28万元, 与2021年度预算相比，增加1.08万元，增长20.77%，增加的原因：2021年11月购入公务用酒1.60万元。</w:t>
      </w:r>
      <w:r>
        <w:rPr>
          <w:rFonts w:ascii="仿宋_GB2312" w:hAnsi="仿宋_GB2312" w:cs="仿宋_GB2312" w:hint="eastAsia"/>
          <w:szCs w:val="32"/>
        </w:rPr>
        <w:t>本年度公务接待共35批次</w:t>
      </w:r>
      <w:bookmarkStart w:id="0" w:name="_GoBack"/>
      <w:r>
        <w:rPr>
          <w:rFonts w:hint="eastAsia"/>
        </w:rPr>
        <w:t>（其中外事接待</w:t>
      </w:r>
      <w:r>
        <w:rPr>
          <w:rFonts w:hint="eastAsia"/>
        </w:rPr>
        <w:t>0</w:t>
      </w:r>
      <w:r>
        <w:rPr>
          <w:rFonts w:hint="eastAsia"/>
        </w:rPr>
        <w:t>批次）</w:t>
      </w:r>
      <w:r>
        <w:rPr>
          <w:rFonts w:ascii="仿宋_GB2312" w:hAnsi="仿宋_GB2312" w:cs="仿宋_GB2312" w:hint="eastAsia"/>
          <w:szCs w:val="32"/>
        </w:rPr>
        <w:t>，362人次</w:t>
      </w:r>
      <w:r>
        <w:rPr>
          <w:rFonts w:hint="eastAsia"/>
        </w:rPr>
        <w:t>（其中外事接待</w:t>
      </w:r>
      <w:r>
        <w:rPr>
          <w:rFonts w:hint="eastAsia"/>
        </w:rPr>
        <w:t>0</w:t>
      </w:r>
      <w:r>
        <w:rPr>
          <w:rFonts w:hint="eastAsia"/>
        </w:rPr>
        <w:t>人次）</w:t>
      </w:r>
      <w:bookmarkEnd w:id="0"/>
      <w:r>
        <w:rPr>
          <w:rFonts w:ascii="仿宋_GB2312" w:hAnsi="仿宋" w:hint="eastAsia"/>
          <w:szCs w:val="32"/>
        </w:rPr>
        <w:t>。主要是用于央企民企客商等来淮项目考察公务接待。经费使用严格贯彻</w:t>
      </w:r>
      <w:r w:rsidR="00676E1F">
        <w:rPr>
          <w:rFonts w:ascii="仿宋_GB2312" w:hAnsi="仿宋" w:hint="eastAsia"/>
          <w:szCs w:val="32"/>
        </w:rPr>
        <w:t>落实</w:t>
      </w:r>
      <w:r>
        <w:rPr>
          <w:rFonts w:ascii="仿宋_GB2312" w:hAnsi="仿宋" w:hint="eastAsia"/>
          <w:szCs w:val="32"/>
        </w:rPr>
        <w:t>中央八项规定</w:t>
      </w:r>
      <w:r w:rsidR="00676E1F">
        <w:rPr>
          <w:rFonts w:ascii="仿宋_GB2312" w:hAnsi="仿宋" w:hint="eastAsia"/>
          <w:szCs w:val="32"/>
        </w:rPr>
        <w:t>精神</w:t>
      </w:r>
      <w:r>
        <w:rPr>
          <w:rFonts w:ascii="仿宋_GB2312" w:hAnsi="仿宋" w:hint="eastAsia"/>
          <w:szCs w:val="32"/>
        </w:rPr>
        <w:t>要求，严格执行《党政机关厉行节约反对浪费条例》、淮北市公务接待相关规定等。</w:t>
      </w:r>
    </w:p>
    <w:p w:rsidR="00F26994" w:rsidRDefault="00784A2B">
      <w:pPr>
        <w:ind w:firstLineChars="200" w:firstLine="643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3.公务用车购置及运行维护费支出</w:t>
      </w:r>
      <w:r>
        <w:rPr>
          <w:rFonts w:ascii="仿宋_GB2312" w:hAnsi="仿宋" w:hint="eastAsia"/>
          <w:szCs w:val="32"/>
        </w:rPr>
        <w:t>0万元，与2021年度预算相比，减少0万元，下降0%。公务用车购置费0万元，与2021年度预算相比，减少0万元，下降0%</w:t>
      </w:r>
      <w:r>
        <w:rPr>
          <w:rFonts w:ascii="楷体_GB2312" w:eastAsia="楷体_GB2312" w:hAnsi="仿宋" w:hint="eastAsia"/>
          <w:szCs w:val="32"/>
        </w:rPr>
        <w:t>。</w:t>
      </w:r>
      <w:r>
        <w:rPr>
          <w:rFonts w:ascii="仿宋_GB2312" w:hAnsi="仿宋" w:hint="eastAsia"/>
          <w:szCs w:val="32"/>
        </w:rPr>
        <w:t>公务用车运行维护费0万元，与2021年度预算相比，减少0万元，下降0%。截至2021年12月31日，淮北市经济和信息化局（本</w:t>
      </w:r>
      <w:r>
        <w:rPr>
          <w:rFonts w:ascii="仿宋_GB2312" w:hAnsi="仿宋" w:hint="eastAsia"/>
          <w:szCs w:val="32"/>
        </w:rPr>
        <w:lastRenderedPageBreak/>
        <w:t>级）开支财政拨款的公务用车保有量为0辆。</w:t>
      </w:r>
    </w:p>
    <w:p w:rsidR="00F26994" w:rsidRDefault="00F26994">
      <w:pPr>
        <w:ind w:firstLineChars="200" w:firstLine="640"/>
        <w:rPr>
          <w:rFonts w:ascii="仿宋_GB2312" w:hAnsi="仿宋"/>
          <w:szCs w:val="32"/>
        </w:rPr>
      </w:pPr>
    </w:p>
    <w:sectPr w:rsidR="00F26994" w:rsidSect="00F26994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M0NzBiOWJjZjUwMWQ1NGM1ZDE0MDhhODg3NDIwYmUifQ=="/>
  </w:docVars>
  <w:rsids>
    <w:rsidRoot w:val="00D303BC"/>
    <w:rsid w:val="00146BC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76E1F"/>
    <w:rsid w:val="006B3BF0"/>
    <w:rsid w:val="007719A9"/>
    <w:rsid w:val="00784A2B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26994"/>
    <w:rsid w:val="00FC29F2"/>
    <w:rsid w:val="03AF786B"/>
    <w:rsid w:val="16AE1E97"/>
    <w:rsid w:val="18242EF9"/>
    <w:rsid w:val="1B9E2159"/>
    <w:rsid w:val="1EEC146E"/>
    <w:rsid w:val="20976CDE"/>
    <w:rsid w:val="267709DD"/>
    <w:rsid w:val="32EF0AA8"/>
    <w:rsid w:val="496947E1"/>
    <w:rsid w:val="4A7027A4"/>
    <w:rsid w:val="62BF2CD9"/>
    <w:rsid w:val="62DA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2"/>
    <w:qFormat/>
    <w:rsid w:val="00F26994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qFormat/>
    <w:rsid w:val="00F26994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a3">
    <w:name w:val="footer"/>
    <w:basedOn w:val="a"/>
    <w:link w:val="Char"/>
    <w:uiPriority w:val="99"/>
    <w:semiHidden/>
    <w:unhideWhenUsed/>
    <w:qFormat/>
    <w:rsid w:val="00F269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26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269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269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丁配泉</dc:creator>
  <cp:lastModifiedBy>陈成亚</cp:lastModifiedBy>
  <cp:revision>4</cp:revision>
  <cp:lastPrinted>2020-09-14T08:17:00Z</cp:lastPrinted>
  <dcterms:created xsi:type="dcterms:W3CDTF">2021-07-16T00:55:00Z</dcterms:created>
  <dcterms:modified xsi:type="dcterms:W3CDTF">2025-08-15T07:08:00Z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95B7D7A6868D44358BC8FEE951F652F5</vt:lpwstr>
  </property>
</Properties>
</file>